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99739" w14:textId="24C83EB3" w:rsidR="00EF1E01" w:rsidRPr="00B90CEA" w:rsidRDefault="00EF1E01" w:rsidP="002E27BF">
      <w:pPr>
        <w:rPr>
          <w:noProof/>
        </w:rPr>
      </w:pPr>
    </w:p>
    <w:p w14:paraId="2B9B3C1A" w14:textId="311A2A2D" w:rsidR="00EF1E01" w:rsidRPr="0061014C" w:rsidRDefault="00463FAE" w:rsidP="002E27BF">
      <w:pPr>
        <w:pStyle w:val="StyleTitre20ptCouleurpersonnaliseRVB0"/>
        <w:rPr>
          <w:color w:val="004890"/>
        </w:rPr>
      </w:pPr>
      <w:r>
        <w:rPr>
          <w:noProof/>
        </w:rPr>
        <w:drawing>
          <wp:anchor distT="0" distB="0" distL="114300" distR="114300" simplePos="0" relativeHeight="251659264" behindDoc="0" locked="0" layoutInCell="1" allowOverlap="1" wp14:anchorId="74F806E6" wp14:editId="19D3526B">
            <wp:simplePos x="0" y="0"/>
            <wp:positionH relativeFrom="column">
              <wp:posOffset>-178435</wp:posOffset>
            </wp:positionH>
            <wp:positionV relativeFrom="paragraph">
              <wp:posOffset>-1391920</wp:posOffset>
            </wp:positionV>
            <wp:extent cx="7560310" cy="1731010"/>
            <wp:effectExtent l="0" t="0" r="2540" b="2540"/>
            <wp:wrapTopAndBottom/>
            <wp:docPr id="4" name="Image 4" descr="C:\Users\c.tranche\Desktop\Capture band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ranche\Desktop\Capture bandea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E01" w:rsidRPr="0061014C">
        <w:rPr>
          <w:color w:val="004890"/>
        </w:rPr>
        <w:t>Commission de la Transparence</w:t>
      </w:r>
    </w:p>
    <w:p w14:paraId="7D5D757A" w14:textId="768E1E2B" w:rsidR="00EF1E01" w:rsidRPr="0061014C" w:rsidRDefault="0028236A" w:rsidP="00EF1E01">
      <w:pPr>
        <w:pStyle w:val="Titre"/>
        <w:rPr>
          <w:color w:val="004890"/>
          <w:sz w:val="28"/>
          <w:szCs w:val="28"/>
        </w:rPr>
      </w:pPr>
      <w:r>
        <w:rPr>
          <w:color w:val="004890"/>
          <w:sz w:val="28"/>
          <w:szCs w:val="28"/>
        </w:rPr>
        <w:t>Avis</w:t>
      </w:r>
    </w:p>
    <w:p w14:paraId="0570C6D4" w14:textId="1C4A3C2F" w:rsidR="00EF1E01" w:rsidRDefault="0028236A" w:rsidP="00EF1E01">
      <w:pPr>
        <w:pStyle w:val="Titre"/>
        <w:rPr>
          <w:color w:val="004890"/>
          <w:sz w:val="28"/>
          <w:szCs w:val="28"/>
        </w:rPr>
      </w:pPr>
      <w:r>
        <w:rPr>
          <w:color w:val="004890"/>
          <w:sz w:val="28"/>
          <w:szCs w:val="28"/>
        </w:rPr>
        <w:t>18</w:t>
      </w:r>
      <w:r w:rsidR="00EF4145">
        <w:rPr>
          <w:color w:val="004890"/>
          <w:sz w:val="28"/>
          <w:szCs w:val="28"/>
        </w:rPr>
        <w:t xml:space="preserve"> </w:t>
      </w:r>
      <w:r w:rsidR="00164EDD">
        <w:rPr>
          <w:color w:val="004890"/>
          <w:sz w:val="28"/>
          <w:szCs w:val="28"/>
        </w:rPr>
        <w:t>septembre 2019</w:t>
      </w:r>
    </w:p>
    <w:p w14:paraId="66F39377" w14:textId="296D2582" w:rsidR="009F04D2" w:rsidRDefault="009F04D2" w:rsidP="00EF1E01">
      <w:pPr>
        <w:pStyle w:val="Titre"/>
        <w:rPr>
          <w:color w:val="004890"/>
          <w:sz w:val="28"/>
          <w:szCs w:val="28"/>
        </w:rPr>
      </w:pPr>
    </w:p>
    <w:p w14:paraId="607F8DCB" w14:textId="77777777" w:rsidR="009F04D2" w:rsidRDefault="009F04D2" w:rsidP="009F04D2">
      <w:pPr>
        <w:pStyle w:val="StyleGrasItaliqueGris-50Centr"/>
        <w:rPr>
          <w:rFonts w:cs="Arial"/>
        </w:rPr>
      </w:pPr>
      <w:r>
        <w:rPr>
          <w:rFonts w:cs="Arial"/>
        </w:rPr>
        <w:t>Date d’examen par la Commission : 4 septembre 2019</w:t>
      </w:r>
    </w:p>
    <w:p w14:paraId="186F8329" w14:textId="77777777" w:rsidR="009F04D2" w:rsidRDefault="009F04D2" w:rsidP="009F04D2">
      <w:pPr>
        <w:rPr>
          <w:rFonts w:cs="Arial"/>
          <w:b/>
          <w:i/>
          <w:color w:val="808080"/>
        </w:rPr>
      </w:pPr>
    </w:p>
    <w:p w14:paraId="4CE99BFE" w14:textId="77777777" w:rsidR="006E5E87" w:rsidRPr="00D269C6" w:rsidRDefault="006E5E87" w:rsidP="00D269C6">
      <w:pPr>
        <w:rPr>
          <w:rFonts w:cs="Arial"/>
          <w:b/>
          <w:i/>
          <w:color w:val="808080"/>
        </w:rPr>
      </w:pPr>
    </w:p>
    <w:tbl>
      <w:tblPr>
        <w:tblW w:w="92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88"/>
      </w:tblGrid>
      <w:tr w:rsidR="0023249C" w:rsidRPr="003255C8" w14:paraId="4BACD3AD" w14:textId="77777777" w:rsidTr="000A4310">
        <w:trPr>
          <w:trHeight w:val="514"/>
        </w:trPr>
        <w:tc>
          <w:tcPr>
            <w:tcW w:w="9288" w:type="dxa"/>
            <w:tcBorders>
              <w:top w:val="nil"/>
              <w:left w:val="nil"/>
              <w:bottom w:val="nil"/>
              <w:right w:val="nil"/>
            </w:tcBorders>
            <w:shd w:val="clear" w:color="auto" w:fill="D9D9D9" w:themeFill="background1" w:themeFillShade="D9"/>
            <w:vAlign w:val="center"/>
          </w:tcPr>
          <w:p w14:paraId="12185CCD" w14:textId="77777777" w:rsidR="0023249C" w:rsidRPr="00DD561F" w:rsidRDefault="00EF4145" w:rsidP="00977FB7">
            <w:pPr>
              <w:jc w:val="center"/>
              <w:rPr>
                <w:rFonts w:cs="Arial"/>
                <w:b/>
                <w:bCs/>
                <w:i/>
                <w:color w:val="004890"/>
                <w:sz w:val="28"/>
                <w:szCs w:val="28"/>
                <w:lang w:val="en-US"/>
              </w:rPr>
            </w:pPr>
            <w:r>
              <w:rPr>
                <w:rFonts w:cs="Arial"/>
                <w:b/>
                <w:bCs/>
                <w:i/>
                <w:color w:val="004890"/>
                <w:sz w:val="28"/>
                <w:szCs w:val="28"/>
                <w:lang w:val="en-US"/>
              </w:rPr>
              <w:t>mé</w:t>
            </w:r>
            <w:r w:rsidR="00164EDD">
              <w:rPr>
                <w:rFonts w:cs="Arial"/>
                <w:b/>
                <w:bCs/>
                <w:i/>
                <w:color w:val="004890"/>
                <w:sz w:val="28"/>
                <w:szCs w:val="28"/>
                <w:lang w:val="en-US"/>
              </w:rPr>
              <w:t xml:space="preserve">thadone </w:t>
            </w:r>
          </w:p>
        </w:tc>
      </w:tr>
    </w:tbl>
    <w:p w14:paraId="40417E52" w14:textId="77777777" w:rsidR="0023249C" w:rsidRDefault="0023249C" w:rsidP="0023249C">
      <w:pPr>
        <w:rPr>
          <w:rFonts w:cs="Arial"/>
          <w:b/>
          <w:i/>
          <w:color w:val="808080"/>
        </w:rPr>
      </w:pPr>
    </w:p>
    <w:p w14:paraId="6E8C0FEF" w14:textId="77777777" w:rsidR="00EA50C2" w:rsidRDefault="00EA50C2" w:rsidP="0023249C">
      <w:pPr>
        <w:rPr>
          <w:rFonts w:cs="Arial"/>
          <w:b/>
          <w:i/>
          <w:color w:val="808080"/>
        </w:rPr>
      </w:pPr>
    </w:p>
    <w:tbl>
      <w:tblPr>
        <w:tblW w:w="92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D61B79" w:rsidRPr="003255C8" w14:paraId="39549E3D" w14:textId="77777777" w:rsidTr="00EB0B9F">
        <w:tc>
          <w:tcPr>
            <w:tcW w:w="9288" w:type="dxa"/>
            <w:gridSpan w:val="2"/>
            <w:tcBorders>
              <w:top w:val="nil"/>
              <w:left w:val="nil"/>
              <w:bottom w:val="nil"/>
              <w:right w:val="nil"/>
            </w:tcBorders>
            <w:shd w:val="clear" w:color="auto" w:fill="auto"/>
          </w:tcPr>
          <w:p w14:paraId="7E8E6FC9" w14:textId="77777777" w:rsidR="00164EDD" w:rsidRDefault="00164EDD" w:rsidP="003255C8">
            <w:pPr>
              <w:widowControl w:val="0"/>
              <w:rPr>
                <w:rFonts w:cs="Arial"/>
                <w:b/>
                <w:bCs/>
                <w:color w:val="004890"/>
                <w:sz w:val="28"/>
                <w:szCs w:val="28"/>
                <w:u w:val="single"/>
              </w:rPr>
            </w:pPr>
            <w:bookmarkStart w:id="0" w:name="Specialite"/>
            <w:bookmarkStart w:id="1" w:name="Substance"/>
            <w:bookmarkStart w:id="2" w:name="Substance02"/>
            <w:bookmarkEnd w:id="0"/>
            <w:bookmarkEnd w:id="1"/>
            <w:bookmarkEnd w:id="2"/>
            <w:r w:rsidRPr="00164EDD">
              <w:rPr>
                <w:rFonts w:cs="Arial"/>
                <w:b/>
                <w:bCs/>
                <w:color w:val="004890"/>
                <w:sz w:val="28"/>
                <w:szCs w:val="28"/>
                <w:u w:val="single"/>
              </w:rPr>
              <w:t xml:space="preserve">ZORYON </w:t>
            </w:r>
            <w:r w:rsidRPr="00FE1CFB">
              <w:rPr>
                <w:rFonts w:cs="Arial"/>
                <w:b/>
                <w:bCs/>
                <w:color w:val="004890"/>
                <w:sz w:val="28"/>
                <w:szCs w:val="28"/>
                <w:u w:val="single"/>
              </w:rPr>
              <w:t>5 mg,</w:t>
            </w:r>
            <w:r w:rsidRPr="00164EDD">
              <w:rPr>
                <w:rFonts w:cs="Arial"/>
                <w:b/>
                <w:bCs/>
                <w:color w:val="004890"/>
                <w:sz w:val="28"/>
                <w:szCs w:val="28"/>
                <w:u w:val="single"/>
              </w:rPr>
              <w:t xml:space="preserve"> gélule</w:t>
            </w:r>
          </w:p>
          <w:p w14:paraId="39636D0D" w14:textId="77777777" w:rsidR="00164EDD" w:rsidRDefault="00164EDD" w:rsidP="003255C8">
            <w:pPr>
              <w:widowControl w:val="0"/>
              <w:rPr>
                <w:rFonts w:cs="Arial"/>
                <w:b/>
                <w:bCs/>
                <w:color w:val="004890"/>
                <w:sz w:val="20"/>
              </w:rPr>
            </w:pPr>
            <w:r w:rsidRPr="00164EDD">
              <w:rPr>
                <w:rFonts w:cs="Arial"/>
                <w:b/>
                <w:bCs/>
                <w:color w:val="004890"/>
                <w:sz w:val="20"/>
              </w:rPr>
              <w:t>boîte de 7 gélules sous plaquettes thermoformée</w:t>
            </w:r>
            <w:r>
              <w:rPr>
                <w:rFonts w:cs="Arial"/>
                <w:b/>
                <w:bCs/>
                <w:color w:val="004890"/>
                <w:sz w:val="20"/>
              </w:rPr>
              <w:t xml:space="preserve"> sécurisée (PVC/PVDC/Aluminium)</w:t>
            </w:r>
            <w:r w:rsidR="00D61B79" w:rsidRPr="0061014C">
              <w:rPr>
                <w:rFonts w:cs="Arial"/>
                <w:b/>
                <w:bCs/>
                <w:color w:val="004890"/>
                <w:sz w:val="20"/>
              </w:rPr>
              <w:t xml:space="preserve"> </w:t>
            </w:r>
          </w:p>
          <w:p w14:paraId="365B6F74" w14:textId="77777777" w:rsidR="00D61B79" w:rsidRPr="0061014C" w:rsidRDefault="00D61B79" w:rsidP="003255C8">
            <w:pPr>
              <w:widowControl w:val="0"/>
              <w:rPr>
                <w:rFonts w:cs="Arial"/>
                <w:b/>
                <w:bCs/>
                <w:color w:val="004890"/>
                <w:sz w:val="20"/>
              </w:rPr>
            </w:pPr>
            <w:r w:rsidRPr="0061014C">
              <w:rPr>
                <w:rFonts w:cs="Arial"/>
                <w:b/>
                <w:bCs/>
                <w:color w:val="004890"/>
                <w:sz w:val="20"/>
              </w:rPr>
              <w:t xml:space="preserve">(CIP : </w:t>
            </w:r>
            <w:bookmarkStart w:id="3" w:name="_Hlk4579771"/>
            <w:r w:rsidR="00164EDD" w:rsidRPr="00164EDD">
              <w:rPr>
                <w:rFonts w:cs="Arial"/>
                <w:b/>
                <w:bCs/>
                <w:color w:val="004890"/>
                <w:sz w:val="20"/>
              </w:rPr>
              <w:t>34009 301 678 09</w:t>
            </w:r>
            <w:bookmarkEnd w:id="3"/>
            <w:r w:rsidRPr="0061014C">
              <w:rPr>
                <w:rFonts w:cs="Arial"/>
                <w:b/>
                <w:bCs/>
                <w:color w:val="004890"/>
                <w:sz w:val="20"/>
              </w:rPr>
              <w:t>)</w:t>
            </w:r>
          </w:p>
          <w:p w14:paraId="6CCF85E9"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w:t>
            </w:r>
            <w:r>
              <w:rPr>
                <w:rFonts w:cs="Arial"/>
                <w:b/>
                <w:bCs/>
                <w:color w:val="004890"/>
                <w:sz w:val="28"/>
                <w:szCs w:val="28"/>
                <w:u w:val="single"/>
              </w:rPr>
              <w:t>10</w:t>
            </w:r>
            <w:r w:rsidRPr="00164EDD">
              <w:rPr>
                <w:rFonts w:cs="Arial"/>
                <w:b/>
                <w:bCs/>
                <w:color w:val="004890"/>
                <w:sz w:val="28"/>
                <w:szCs w:val="28"/>
                <w:u w:val="single"/>
              </w:rPr>
              <w:t xml:space="preserve"> mg, gélule</w:t>
            </w:r>
          </w:p>
          <w:p w14:paraId="70513480" w14:textId="77777777" w:rsidR="00164EDD" w:rsidRDefault="00164EDD" w:rsidP="00164EDD">
            <w:pPr>
              <w:widowControl w:val="0"/>
              <w:rPr>
                <w:rFonts w:cs="Arial"/>
                <w:b/>
                <w:bCs/>
                <w:color w:val="004890"/>
                <w:sz w:val="20"/>
              </w:rPr>
            </w:pPr>
            <w:r w:rsidRPr="00164EDD">
              <w:rPr>
                <w:rFonts w:cs="Arial"/>
                <w:b/>
                <w:bCs/>
                <w:color w:val="004890"/>
                <w:sz w:val="20"/>
              </w:rPr>
              <w:t>boîte de 7 gélules sous plaquettes thermoformée</w:t>
            </w:r>
            <w:r>
              <w:rPr>
                <w:rFonts w:cs="Arial"/>
                <w:b/>
                <w:bCs/>
                <w:color w:val="004890"/>
                <w:sz w:val="20"/>
              </w:rPr>
              <w:t xml:space="preserve"> sécurisée (PVC/PVDC/Aluminium)</w:t>
            </w:r>
            <w:r w:rsidRPr="0061014C">
              <w:rPr>
                <w:rFonts w:cs="Arial"/>
                <w:b/>
                <w:bCs/>
                <w:color w:val="004890"/>
                <w:sz w:val="20"/>
              </w:rPr>
              <w:t xml:space="preserve"> </w:t>
            </w:r>
          </w:p>
          <w:p w14:paraId="76581240" w14:textId="77777777" w:rsidR="00164EDD" w:rsidRDefault="00164EDD" w:rsidP="00164EDD">
            <w:pPr>
              <w:widowControl w:val="0"/>
              <w:rPr>
                <w:rFonts w:cs="Arial"/>
                <w:b/>
                <w:bCs/>
                <w:color w:val="004890"/>
                <w:sz w:val="28"/>
                <w:szCs w:val="28"/>
                <w:u w:val="single"/>
              </w:rPr>
            </w:pPr>
            <w:bookmarkStart w:id="4" w:name="_Hlk4579795"/>
            <w:r w:rsidRPr="0061014C">
              <w:rPr>
                <w:rFonts w:cs="Arial"/>
                <w:b/>
                <w:bCs/>
                <w:color w:val="004890"/>
                <w:sz w:val="20"/>
              </w:rPr>
              <w:t xml:space="preserve">(CIP : </w:t>
            </w:r>
            <w:r w:rsidRPr="00164EDD">
              <w:rPr>
                <w:rFonts w:cs="Arial"/>
                <w:b/>
                <w:bCs/>
                <w:color w:val="004890"/>
                <w:sz w:val="20"/>
              </w:rPr>
              <w:t>34009 301 678 5 4</w:t>
            </w:r>
            <w:bookmarkEnd w:id="4"/>
            <w:r>
              <w:rPr>
                <w:rFonts w:cs="Arial"/>
                <w:b/>
                <w:bCs/>
                <w:color w:val="004890"/>
                <w:sz w:val="20"/>
              </w:rPr>
              <w:t>)</w:t>
            </w:r>
          </w:p>
          <w:p w14:paraId="2BC115EA"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w:t>
            </w:r>
            <w:r>
              <w:rPr>
                <w:rFonts w:cs="Arial"/>
                <w:b/>
                <w:bCs/>
                <w:color w:val="004890"/>
                <w:sz w:val="28"/>
                <w:szCs w:val="28"/>
                <w:u w:val="single"/>
              </w:rPr>
              <w:t>20</w:t>
            </w:r>
            <w:r w:rsidRPr="00164EDD">
              <w:rPr>
                <w:rFonts w:cs="Arial"/>
                <w:b/>
                <w:bCs/>
                <w:color w:val="004890"/>
                <w:sz w:val="28"/>
                <w:szCs w:val="28"/>
                <w:u w:val="single"/>
              </w:rPr>
              <w:t xml:space="preserve"> mg, gélule</w:t>
            </w:r>
          </w:p>
          <w:p w14:paraId="297284CE" w14:textId="77777777" w:rsidR="00164EDD" w:rsidRDefault="00164EDD" w:rsidP="00164EDD">
            <w:pPr>
              <w:widowControl w:val="0"/>
              <w:rPr>
                <w:rFonts w:cs="Arial"/>
                <w:b/>
                <w:bCs/>
                <w:color w:val="004890"/>
                <w:sz w:val="20"/>
              </w:rPr>
            </w:pPr>
            <w:r w:rsidRPr="00164EDD">
              <w:rPr>
                <w:rFonts w:cs="Arial"/>
                <w:b/>
                <w:bCs/>
                <w:color w:val="004890"/>
                <w:sz w:val="20"/>
              </w:rPr>
              <w:t>boîte de 7 gélules sous plaquettes thermoformée</w:t>
            </w:r>
            <w:r>
              <w:rPr>
                <w:rFonts w:cs="Arial"/>
                <w:b/>
                <w:bCs/>
                <w:color w:val="004890"/>
                <w:sz w:val="20"/>
              </w:rPr>
              <w:t xml:space="preserve"> sécurisée (PVC/PVDC/Aluminium)</w:t>
            </w:r>
            <w:r w:rsidRPr="0061014C">
              <w:rPr>
                <w:rFonts w:cs="Arial"/>
                <w:b/>
                <w:bCs/>
                <w:color w:val="004890"/>
                <w:sz w:val="20"/>
              </w:rPr>
              <w:t xml:space="preserve"> </w:t>
            </w:r>
          </w:p>
          <w:p w14:paraId="295DA1AA" w14:textId="77777777" w:rsidR="00164EDD" w:rsidRDefault="00164EDD" w:rsidP="00164EDD">
            <w:pPr>
              <w:widowControl w:val="0"/>
              <w:rPr>
                <w:rFonts w:cs="Arial"/>
                <w:b/>
                <w:bCs/>
                <w:color w:val="004890"/>
                <w:sz w:val="28"/>
                <w:szCs w:val="28"/>
                <w:u w:val="single"/>
              </w:rPr>
            </w:pPr>
            <w:r w:rsidRPr="0061014C">
              <w:rPr>
                <w:rFonts w:cs="Arial"/>
                <w:b/>
                <w:bCs/>
                <w:color w:val="004890"/>
                <w:sz w:val="20"/>
              </w:rPr>
              <w:t xml:space="preserve">(CIP : </w:t>
            </w:r>
            <w:r w:rsidRPr="00164EDD">
              <w:rPr>
                <w:rFonts w:cs="Arial"/>
                <w:b/>
                <w:bCs/>
                <w:color w:val="004890"/>
                <w:sz w:val="20"/>
              </w:rPr>
              <w:t>34009 301 679 1 5</w:t>
            </w:r>
            <w:r>
              <w:rPr>
                <w:rFonts w:cs="Arial"/>
                <w:b/>
                <w:bCs/>
                <w:color w:val="004890"/>
                <w:sz w:val="20"/>
              </w:rPr>
              <w:t>)</w:t>
            </w:r>
          </w:p>
          <w:p w14:paraId="080FAD89"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w:t>
            </w:r>
            <w:r>
              <w:rPr>
                <w:rFonts w:cs="Arial"/>
                <w:b/>
                <w:bCs/>
                <w:color w:val="004890"/>
                <w:sz w:val="28"/>
                <w:szCs w:val="28"/>
                <w:u w:val="single"/>
              </w:rPr>
              <w:t>40</w:t>
            </w:r>
            <w:r w:rsidRPr="00164EDD">
              <w:rPr>
                <w:rFonts w:cs="Arial"/>
                <w:b/>
                <w:bCs/>
                <w:color w:val="004890"/>
                <w:sz w:val="28"/>
                <w:szCs w:val="28"/>
                <w:u w:val="single"/>
              </w:rPr>
              <w:t xml:space="preserve"> mg, gélule</w:t>
            </w:r>
          </w:p>
          <w:p w14:paraId="5C810BC7" w14:textId="77777777" w:rsidR="00164EDD" w:rsidRDefault="00164EDD" w:rsidP="00164EDD">
            <w:pPr>
              <w:widowControl w:val="0"/>
              <w:rPr>
                <w:rFonts w:cs="Arial"/>
                <w:b/>
                <w:bCs/>
                <w:color w:val="004890"/>
                <w:sz w:val="20"/>
              </w:rPr>
            </w:pPr>
            <w:r w:rsidRPr="00164EDD">
              <w:rPr>
                <w:rFonts w:cs="Arial"/>
                <w:b/>
                <w:bCs/>
                <w:color w:val="004890"/>
                <w:sz w:val="20"/>
              </w:rPr>
              <w:t>boîte de 7 gélules sous plaquettes thermoformée</w:t>
            </w:r>
            <w:r>
              <w:rPr>
                <w:rFonts w:cs="Arial"/>
                <w:b/>
                <w:bCs/>
                <w:color w:val="004890"/>
                <w:sz w:val="20"/>
              </w:rPr>
              <w:t xml:space="preserve"> sécurisée (PVC/PVDC/Aluminium)</w:t>
            </w:r>
            <w:r w:rsidRPr="0061014C">
              <w:rPr>
                <w:rFonts w:cs="Arial"/>
                <w:b/>
                <w:bCs/>
                <w:color w:val="004890"/>
                <w:sz w:val="20"/>
              </w:rPr>
              <w:t xml:space="preserve"> </w:t>
            </w:r>
          </w:p>
          <w:p w14:paraId="5DADB52C" w14:textId="77777777" w:rsidR="00164EDD" w:rsidRDefault="00164EDD" w:rsidP="00164EDD">
            <w:pPr>
              <w:widowControl w:val="0"/>
              <w:rPr>
                <w:rFonts w:cs="Arial"/>
                <w:b/>
                <w:bCs/>
                <w:color w:val="004890"/>
                <w:sz w:val="20"/>
              </w:rPr>
            </w:pPr>
            <w:r w:rsidRPr="0061014C">
              <w:rPr>
                <w:rFonts w:cs="Arial"/>
                <w:b/>
                <w:bCs/>
                <w:color w:val="004890"/>
                <w:sz w:val="20"/>
              </w:rPr>
              <w:t xml:space="preserve">(CIP : </w:t>
            </w:r>
            <w:r w:rsidRPr="00164EDD">
              <w:rPr>
                <w:rFonts w:cs="Arial"/>
                <w:b/>
                <w:bCs/>
                <w:color w:val="004890"/>
                <w:sz w:val="20"/>
              </w:rPr>
              <w:t>34009 301 679 7 7</w:t>
            </w:r>
            <w:r>
              <w:rPr>
                <w:rFonts w:cs="Arial"/>
                <w:b/>
                <w:bCs/>
                <w:color w:val="004890"/>
                <w:sz w:val="20"/>
              </w:rPr>
              <w:t>)</w:t>
            </w:r>
          </w:p>
          <w:p w14:paraId="6C0C37B1"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5 mg, </w:t>
            </w:r>
            <w:r>
              <w:rPr>
                <w:rFonts w:cs="Arial"/>
                <w:b/>
                <w:bCs/>
                <w:color w:val="004890"/>
                <w:sz w:val="28"/>
                <w:szCs w:val="28"/>
                <w:u w:val="single"/>
              </w:rPr>
              <w:t>sirop</w:t>
            </w:r>
          </w:p>
          <w:p w14:paraId="2BC171EB" w14:textId="77777777" w:rsidR="00164EDD" w:rsidRDefault="00164EDD" w:rsidP="00164EDD">
            <w:pPr>
              <w:widowControl w:val="0"/>
              <w:rPr>
                <w:rFonts w:cs="Arial"/>
                <w:b/>
                <w:bCs/>
                <w:color w:val="004890"/>
                <w:sz w:val="20"/>
              </w:rPr>
            </w:pPr>
            <w:r w:rsidRPr="00164EDD">
              <w:rPr>
                <w:rFonts w:cs="Arial"/>
                <w:b/>
                <w:bCs/>
                <w:color w:val="004890"/>
                <w:sz w:val="20"/>
              </w:rPr>
              <w:t>1 flacon unidose (verre brun)</w:t>
            </w:r>
            <w:r>
              <w:rPr>
                <w:rFonts w:cs="Arial"/>
                <w:b/>
                <w:bCs/>
                <w:color w:val="004890"/>
                <w:sz w:val="20"/>
              </w:rPr>
              <w:t xml:space="preserve"> </w:t>
            </w:r>
            <w:r w:rsidRPr="0061014C">
              <w:rPr>
                <w:rFonts w:cs="Arial"/>
                <w:b/>
                <w:bCs/>
                <w:color w:val="004890"/>
                <w:sz w:val="20"/>
              </w:rPr>
              <w:t xml:space="preserve">(CIP : </w:t>
            </w:r>
            <w:bookmarkStart w:id="5" w:name="_Hlk4579878"/>
            <w:r w:rsidRPr="00164EDD">
              <w:rPr>
                <w:rFonts w:cs="Arial"/>
                <w:b/>
                <w:bCs/>
                <w:color w:val="004890"/>
                <w:sz w:val="20"/>
              </w:rPr>
              <w:t>34009 301 678 4 7</w:t>
            </w:r>
            <w:bookmarkEnd w:id="5"/>
            <w:r w:rsidRPr="0061014C">
              <w:rPr>
                <w:rFonts w:cs="Arial"/>
                <w:b/>
                <w:bCs/>
                <w:color w:val="004890"/>
                <w:sz w:val="20"/>
              </w:rPr>
              <w:t>)</w:t>
            </w:r>
          </w:p>
          <w:p w14:paraId="373C1E83" w14:textId="77777777" w:rsidR="00164EDD" w:rsidRPr="0061014C" w:rsidRDefault="00164EDD" w:rsidP="00164EDD">
            <w:pPr>
              <w:widowControl w:val="0"/>
              <w:rPr>
                <w:rFonts w:cs="Arial"/>
                <w:b/>
                <w:bCs/>
                <w:color w:val="004890"/>
                <w:sz w:val="20"/>
              </w:rPr>
            </w:pPr>
            <w:r>
              <w:rPr>
                <w:rFonts w:cs="Arial"/>
                <w:b/>
                <w:bCs/>
                <w:color w:val="004890"/>
                <w:sz w:val="20"/>
              </w:rPr>
              <w:t>70 flacons unidose (verre brun) (CIP :</w:t>
            </w:r>
            <w:r>
              <w:t xml:space="preserve"> </w:t>
            </w:r>
            <w:r w:rsidRPr="00164EDD">
              <w:rPr>
                <w:rFonts w:cs="Arial"/>
                <w:b/>
                <w:bCs/>
                <w:color w:val="004890"/>
                <w:sz w:val="20"/>
              </w:rPr>
              <w:t>34009 550 614 3 4</w:t>
            </w:r>
            <w:r>
              <w:rPr>
                <w:rFonts w:cs="Arial"/>
                <w:b/>
                <w:bCs/>
                <w:color w:val="004890"/>
                <w:sz w:val="20"/>
              </w:rPr>
              <w:t>)</w:t>
            </w:r>
          </w:p>
          <w:p w14:paraId="186B4EC6"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w:t>
            </w:r>
            <w:r>
              <w:rPr>
                <w:rFonts w:cs="Arial"/>
                <w:b/>
                <w:bCs/>
                <w:color w:val="004890"/>
                <w:sz w:val="28"/>
                <w:szCs w:val="28"/>
                <w:u w:val="single"/>
              </w:rPr>
              <w:t>10</w:t>
            </w:r>
            <w:r w:rsidRPr="00164EDD">
              <w:rPr>
                <w:rFonts w:cs="Arial"/>
                <w:b/>
                <w:bCs/>
                <w:color w:val="004890"/>
                <w:sz w:val="28"/>
                <w:szCs w:val="28"/>
                <w:u w:val="single"/>
              </w:rPr>
              <w:t xml:space="preserve"> mg, </w:t>
            </w:r>
            <w:r>
              <w:rPr>
                <w:rFonts w:cs="Arial"/>
                <w:b/>
                <w:bCs/>
                <w:color w:val="004890"/>
                <w:sz w:val="28"/>
                <w:szCs w:val="28"/>
                <w:u w:val="single"/>
              </w:rPr>
              <w:t>sirop</w:t>
            </w:r>
          </w:p>
          <w:p w14:paraId="67B9CAD5" w14:textId="77777777" w:rsidR="00164EDD" w:rsidRDefault="00164EDD" w:rsidP="00164EDD">
            <w:pPr>
              <w:widowControl w:val="0"/>
              <w:rPr>
                <w:rFonts w:cs="Arial"/>
                <w:b/>
                <w:bCs/>
                <w:color w:val="004890"/>
                <w:sz w:val="20"/>
              </w:rPr>
            </w:pPr>
            <w:r w:rsidRPr="00164EDD">
              <w:rPr>
                <w:rFonts w:cs="Arial"/>
                <w:b/>
                <w:bCs/>
                <w:color w:val="004890"/>
                <w:sz w:val="20"/>
              </w:rPr>
              <w:t>1 flacon unidose (verre brun)</w:t>
            </w:r>
            <w:r>
              <w:rPr>
                <w:rFonts w:cs="Arial"/>
                <w:b/>
                <w:bCs/>
                <w:color w:val="004890"/>
                <w:sz w:val="20"/>
              </w:rPr>
              <w:t xml:space="preserve"> </w:t>
            </w:r>
            <w:r w:rsidRPr="0061014C">
              <w:rPr>
                <w:rFonts w:cs="Arial"/>
                <w:b/>
                <w:bCs/>
                <w:color w:val="004890"/>
                <w:sz w:val="20"/>
              </w:rPr>
              <w:t xml:space="preserve">(CIP : </w:t>
            </w:r>
            <w:bookmarkStart w:id="6" w:name="_Hlk4579895"/>
            <w:r w:rsidRPr="00164EDD">
              <w:rPr>
                <w:rFonts w:cs="Arial"/>
                <w:b/>
                <w:bCs/>
                <w:color w:val="004890"/>
                <w:sz w:val="20"/>
              </w:rPr>
              <w:t>34009 301 679 0 8</w:t>
            </w:r>
            <w:bookmarkEnd w:id="6"/>
            <w:r w:rsidRPr="0061014C">
              <w:rPr>
                <w:rFonts w:cs="Arial"/>
                <w:b/>
                <w:bCs/>
                <w:color w:val="004890"/>
                <w:sz w:val="20"/>
              </w:rPr>
              <w:t>)</w:t>
            </w:r>
          </w:p>
          <w:p w14:paraId="5DA74377" w14:textId="77777777" w:rsidR="00164EDD" w:rsidRPr="0061014C" w:rsidRDefault="00164EDD" w:rsidP="00164EDD">
            <w:pPr>
              <w:widowControl w:val="0"/>
              <w:rPr>
                <w:rFonts w:cs="Arial"/>
                <w:b/>
                <w:bCs/>
                <w:color w:val="004890"/>
                <w:sz w:val="20"/>
              </w:rPr>
            </w:pPr>
            <w:r>
              <w:rPr>
                <w:rFonts w:cs="Arial"/>
                <w:b/>
                <w:bCs/>
                <w:color w:val="004890"/>
                <w:sz w:val="20"/>
              </w:rPr>
              <w:t>70 flacons unidose (verre brun) (CIP :</w:t>
            </w:r>
            <w:r>
              <w:t xml:space="preserve"> </w:t>
            </w:r>
            <w:r w:rsidRPr="00164EDD">
              <w:rPr>
                <w:rFonts w:cs="Arial"/>
                <w:b/>
                <w:bCs/>
                <w:color w:val="004890"/>
                <w:sz w:val="20"/>
              </w:rPr>
              <w:t>34009 550 614 6 5</w:t>
            </w:r>
            <w:r>
              <w:rPr>
                <w:rFonts w:cs="Arial"/>
                <w:b/>
                <w:bCs/>
                <w:color w:val="004890"/>
                <w:sz w:val="20"/>
              </w:rPr>
              <w:t>)</w:t>
            </w:r>
          </w:p>
          <w:p w14:paraId="74D41042"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w:t>
            </w:r>
            <w:r>
              <w:rPr>
                <w:rFonts w:cs="Arial"/>
                <w:b/>
                <w:bCs/>
                <w:color w:val="004890"/>
                <w:sz w:val="28"/>
                <w:szCs w:val="28"/>
                <w:u w:val="single"/>
              </w:rPr>
              <w:t>20</w:t>
            </w:r>
            <w:r w:rsidRPr="00164EDD">
              <w:rPr>
                <w:rFonts w:cs="Arial"/>
                <w:b/>
                <w:bCs/>
                <w:color w:val="004890"/>
                <w:sz w:val="28"/>
                <w:szCs w:val="28"/>
                <w:u w:val="single"/>
              </w:rPr>
              <w:t xml:space="preserve"> mg, </w:t>
            </w:r>
            <w:r>
              <w:rPr>
                <w:rFonts w:cs="Arial"/>
                <w:b/>
                <w:bCs/>
                <w:color w:val="004890"/>
                <w:sz w:val="28"/>
                <w:szCs w:val="28"/>
                <w:u w:val="single"/>
              </w:rPr>
              <w:t>sirop</w:t>
            </w:r>
          </w:p>
          <w:p w14:paraId="0680A0A0" w14:textId="77777777" w:rsidR="00164EDD" w:rsidRDefault="00164EDD" w:rsidP="00164EDD">
            <w:pPr>
              <w:widowControl w:val="0"/>
              <w:rPr>
                <w:rFonts w:cs="Arial"/>
                <w:b/>
                <w:bCs/>
                <w:color w:val="004890"/>
                <w:sz w:val="20"/>
              </w:rPr>
            </w:pPr>
            <w:r w:rsidRPr="00164EDD">
              <w:rPr>
                <w:rFonts w:cs="Arial"/>
                <w:b/>
                <w:bCs/>
                <w:color w:val="004890"/>
                <w:sz w:val="20"/>
              </w:rPr>
              <w:t>1 flacon unidose (verre brun)</w:t>
            </w:r>
            <w:r>
              <w:rPr>
                <w:rFonts w:cs="Arial"/>
                <w:b/>
                <w:bCs/>
                <w:color w:val="004890"/>
                <w:sz w:val="20"/>
              </w:rPr>
              <w:t xml:space="preserve"> </w:t>
            </w:r>
            <w:r w:rsidRPr="0061014C">
              <w:rPr>
                <w:rFonts w:cs="Arial"/>
                <w:b/>
                <w:bCs/>
                <w:color w:val="004890"/>
                <w:sz w:val="20"/>
              </w:rPr>
              <w:t xml:space="preserve">(CIP : </w:t>
            </w:r>
            <w:r w:rsidRPr="00164EDD">
              <w:rPr>
                <w:rFonts w:cs="Arial"/>
                <w:b/>
                <w:bCs/>
                <w:color w:val="004890"/>
                <w:sz w:val="20"/>
              </w:rPr>
              <w:t>34009 301 679 6 0</w:t>
            </w:r>
            <w:r w:rsidRPr="0061014C">
              <w:rPr>
                <w:rFonts w:cs="Arial"/>
                <w:b/>
                <w:bCs/>
                <w:color w:val="004890"/>
                <w:sz w:val="20"/>
              </w:rPr>
              <w:t>)</w:t>
            </w:r>
          </w:p>
          <w:p w14:paraId="0F9EDC4A" w14:textId="77777777" w:rsidR="00164EDD" w:rsidRPr="0061014C" w:rsidRDefault="00164EDD" w:rsidP="00164EDD">
            <w:pPr>
              <w:widowControl w:val="0"/>
              <w:rPr>
                <w:rFonts w:cs="Arial"/>
                <w:b/>
                <w:bCs/>
                <w:color w:val="004890"/>
                <w:sz w:val="20"/>
              </w:rPr>
            </w:pPr>
            <w:r>
              <w:rPr>
                <w:rFonts w:cs="Arial"/>
                <w:b/>
                <w:bCs/>
                <w:color w:val="004890"/>
                <w:sz w:val="20"/>
              </w:rPr>
              <w:t>70 flacons unidose (verre brun) (CIP :</w:t>
            </w:r>
            <w:r>
              <w:t xml:space="preserve"> </w:t>
            </w:r>
            <w:r w:rsidRPr="00164EDD">
              <w:rPr>
                <w:rFonts w:cs="Arial"/>
                <w:b/>
                <w:bCs/>
                <w:color w:val="004890"/>
                <w:sz w:val="20"/>
              </w:rPr>
              <w:t>34009 550 614 9 6</w:t>
            </w:r>
            <w:r>
              <w:rPr>
                <w:rFonts w:cs="Arial"/>
                <w:b/>
                <w:bCs/>
                <w:color w:val="004890"/>
                <w:sz w:val="20"/>
              </w:rPr>
              <w:t>)</w:t>
            </w:r>
          </w:p>
          <w:p w14:paraId="5C75C545" w14:textId="77777777" w:rsidR="00164EDD" w:rsidRDefault="00164EDD" w:rsidP="00164EDD">
            <w:pPr>
              <w:widowControl w:val="0"/>
              <w:rPr>
                <w:rFonts w:cs="Arial"/>
                <w:b/>
                <w:bCs/>
                <w:color w:val="004890"/>
                <w:sz w:val="28"/>
                <w:szCs w:val="28"/>
                <w:u w:val="single"/>
              </w:rPr>
            </w:pPr>
            <w:r w:rsidRPr="00164EDD">
              <w:rPr>
                <w:rFonts w:cs="Arial"/>
                <w:b/>
                <w:bCs/>
                <w:color w:val="004890"/>
                <w:sz w:val="28"/>
                <w:szCs w:val="28"/>
                <w:u w:val="single"/>
              </w:rPr>
              <w:t xml:space="preserve">ZORYON </w:t>
            </w:r>
            <w:r>
              <w:rPr>
                <w:rFonts w:cs="Arial"/>
                <w:b/>
                <w:bCs/>
                <w:color w:val="004890"/>
                <w:sz w:val="28"/>
                <w:szCs w:val="28"/>
                <w:u w:val="single"/>
              </w:rPr>
              <w:t>40</w:t>
            </w:r>
            <w:r w:rsidRPr="00164EDD">
              <w:rPr>
                <w:rFonts w:cs="Arial"/>
                <w:b/>
                <w:bCs/>
                <w:color w:val="004890"/>
                <w:sz w:val="28"/>
                <w:szCs w:val="28"/>
                <w:u w:val="single"/>
              </w:rPr>
              <w:t xml:space="preserve"> mg, </w:t>
            </w:r>
            <w:r>
              <w:rPr>
                <w:rFonts w:cs="Arial"/>
                <w:b/>
                <w:bCs/>
                <w:color w:val="004890"/>
                <w:sz w:val="28"/>
                <w:szCs w:val="28"/>
                <w:u w:val="single"/>
              </w:rPr>
              <w:t>sirop</w:t>
            </w:r>
          </w:p>
          <w:p w14:paraId="2D1DBF5C" w14:textId="77777777" w:rsidR="00164EDD" w:rsidRDefault="00164EDD" w:rsidP="00164EDD">
            <w:pPr>
              <w:widowControl w:val="0"/>
              <w:rPr>
                <w:rFonts w:cs="Arial"/>
                <w:b/>
                <w:bCs/>
                <w:color w:val="004890"/>
                <w:sz w:val="20"/>
              </w:rPr>
            </w:pPr>
            <w:r w:rsidRPr="00164EDD">
              <w:rPr>
                <w:rFonts w:cs="Arial"/>
                <w:b/>
                <w:bCs/>
                <w:color w:val="004890"/>
                <w:sz w:val="20"/>
              </w:rPr>
              <w:t>1 flacon unidose (verre brun)</w:t>
            </w:r>
            <w:r>
              <w:rPr>
                <w:rFonts w:cs="Arial"/>
                <w:b/>
                <w:bCs/>
                <w:color w:val="004890"/>
                <w:sz w:val="20"/>
              </w:rPr>
              <w:t xml:space="preserve"> </w:t>
            </w:r>
            <w:r w:rsidRPr="0061014C">
              <w:rPr>
                <w:rFonts w:cs="Arial"/>
                <w:b/>
                <w:bCs/>
                <w:color w:val="004890"/>
                <w:sz w:val="20"/>
              </w:rPr>
              <w:t xml:space="preserve">(CIP : </w:t>
            </w:r>
            <w:r w:rsidRPr="00164EDD">
              <w:rPr>
                <w:rFonts w:cs="Arial"/>
                <w:b/>
                <w:bCs/>
                <w:color w:val="004890"/>
                <w:sz w:val="20"/>
              </w:rPr>
              <w:t>34009 301 680 2 8</w:t>
            </w:r>
            <w:r w:rsidRPr="0061014C">
              <w:rPr>
                <w:rFonts w:cs="Arial"/>
                <w:b/>
                <w:bCs/>
                <w:color w:val="004890"/>
                <w:sz w:val="20"/>
              </w:rPr>
              <w:t>)</w:t>
            </w:r>
          </w:p>
          <w:p w14:paraId="6942F759" w14:textId="77777777" w:rsidR="00164EDD" w:rsidRPr="0061014C" w:rsidRDefault="00164EDD" w:rsidP="00164EDD">
            <w:pPr>
              <w:widowControl w:val="0"/>
              <w:rPr>
                <w:rFonts w:cs="Arial"/>
                <w:b/>
                <w:bCs/>
                <w:color w:val="004890"/>
                <w:sz w:val="20"/>
              </w:rPr>
            </w:pPr>
            <w:r>
              <w:rPr>
                <w:rFonts w:cs="Arial"/>
                <w:b/>
                <w:bCs/>
                <w:color w:val="004890"/>
                <w:sz w:val="20"/>
              </w:rPr>
              <w:t>70 flacons unidose (verre brun) (CIP :</w:t>
            </w:r>
            <w:r>
              <w:t xml:space="preserve"> </w:t>
            </w:r>
            <w:bookmarkStart w:id="7" w:name="_Hlk4580006"/>
            <w:r w:rsidRPr="00164EDD">
              <w:rPr>
                <w:rFonts w:cs="Arial"/>
                <w:b/>
                <w:bCs/>
                <w:color w:val="004890"/>
                <w:sz w:val="20"/>
              </w:rPr>
              <w:t>34009 550 615 2 6</w:t>
            </w:r>
            <w:bookmarkEnd w:id="7"/>
            <w:r>
              <w:rPr>
                <w:rFonts w:cs="Arial"/>
                <w:b/>
                <w:bCs/>
                <w:color w:val="004890"/>
                <w:sz w:val="20"/>
              </w:rPr>
              <w:t>)</w:t>
            </w:r>
          </w:p>
          <w:p w14:paraId="491803BF" w14:textId="77777777" w:rsidR="00D61B79" w:rsidRPr="0061014C" w:rsidRDefault="00D61B79" w:rsidP="00164EDD">
            <w:pPr>
              <w:widowControl w:val="0"/>
              <w:rPr>
                <w:rFonts w:cs="Arial"/>
                <w:color w:val="004890"/>
                <w:sz w:val="20"/>
              </w:rPr>
            </w:pPr>
          </w:p>
        </w:tc>
        <w:bookmarkStart w:id="8" w:name="_GoBack"/>
        <w:bookmarkEnd w:id="8"/>
      </w:tr>
      <w:tr w:rsidR="00D61B79" w:rsidRPr="003255C8" w14:paraId="6022B60D" w14:textId="77777777" w:rsidTr="00EB0B9F">
        <w:trPr>
          <w:trHeight w:val="514"/>
        </w:trPr>
        <w:tc>
          <w:tcPr>
            <w:tcW w:w="9288" w:type="dxa"/>
            <w:gridSpan w:val="2"/>
            <w:tcBorders>
              <w:top w:val="nil"/>
              <w:left w:val="nil"/>
              <w:bottom w:val="single" w:sz="4" w:space="0" w:color="C0C0C0"/>
              <w:right w:val="nil"/>
            </w:tcBorders>
            <w:shd w:val="clear" w:color="auto" w:fill="auto"/>
            <w:vAlign w:val="center"/>
          </w:tcPr>
          <w:p w14:paraId="060DF2A7" w14:textId="0E4C29BB" w:rsidR="00570E0E" w:rsidRPr="0061014C" w:rsidRDefault="00D61B79" w:rsidP="000A43C6">
            <w:pPr>
              <w:rPr>
                <w:rFonts w:cs="Arial"/>
                <w:color w:val="004890"/>
                <w:szCs w:val="22"/>
              </w:rPr>
            </w:pPr>
            <w:r w:rsidRPr="0061014C">
              <w:rPr>
                <w:rFonts w:cs="Arial"/>
                <w:color w:val="004890"/>
                <w:szCs w:val="22"/>
              </w:rPr>
              <w:t>Laboratoire</w:t>
            </w:r>
            <w:r w:rsidR="00BA3505">
              <w:rPr>
                <w:rFonts w:cs="Arial"/>
                <w:color w:val="004890"/>
                <w:szCs w:val="22"/>
              </w:rPr>
              <w:t>s</w:t>
            </w:r>
            <w:r w:rsidRPr="0061014C">
              <w:rPr>
                <w:rFonts w:cs="Arial"/>
                <w:color w:val="004890"/>
                <w:szCs w:val="22"/>
              </w:rPr>
              <w:t xml:space="preserve"> </w:t>
            </w:r>
            <w:r w:rsidR="00164EDD" w:rsidRPr="00164EDD">
              <w:rPr>
                <w:rFonts w:cs="Arial"/>
                <w:color w:val="004890"/>
                <w:szCs w:val="22"/>
              </w:rPr>
              <w:t>BOUCHARA-RECORDATI</w:t>
            </w:r>
          </w:p>
        </w:tc>
      </w:tr>
      <w:tr w:rsidR="00D61B79" w:rsidRPr="003255C8" w14:paraId="61D538C8" w14:textId="77777777" w:rsidTr="00EB0B9F">
        <w:trPr>
          <w:trHeight w:val="375"/>
        </w:trPr>
        <w:tc>
          <w:tcPr>
            <w:tcW w:w="208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AEF235" w14:textId="77777777" w:rsidR="00D61B79" w:rsidRPr="003255C8" w:rsidRDefault="00D61B79" w:rsidP="0023249C">
            <w:pPr>
              <w:jc w:val="left"/>
              <w:rPr>
                <w:rFonts w:cs="Arial"/>
                <w:color w:val="808080"/>
                <w:sz w:val="20"/>
              </w:rPr>
            </w:pPr>
            <w:r w:rsidRPr="003255C8">
              <w:rPr>
                <w:rFonts w:cs="Arial"/>
                <w:color w:val="808080"/>
                <w:sz w:val="20"/>
              </w:rPr>
              <w:t>Code ATC</w:t>
            </w:r>
          </w:p>
        </w:tc>
        <w:tc>
          <w:tcPr>
            <w:tcW w:w="72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8E9ACC" w14:textId="77777777" w:rsidR="00D61B79" w:rsidRPr="0023249C" w:rsidRDefault="00164EDD" w:rsidP="00164EDD">
            <w:pPr>
              <w:jc w:val="left"/>
              <w:rPr>
                <w:rFonts w:cs="Arial"/>
                <w:b/>
                <w:sz w:val="20"/>
              </w:rPr>
            </w:pPr>
            <w:r w:rsidRPr="00164EDD">
              <w:rPr>
                <w:rFonts w:cs="Arial"/>
                <w:b/>
                <w:bCs/>
                <w:sz w:val="20"/>
              </w:rPr>
              <w:t>N02AC52</w:t>
            </w:r>
            <w:r>
              <w:rPr>
                <w:rFonts w:cs="Arial"/>
                <w:b/>
                <w:bCs/>
                <w:sz w:val="20"/>
              </w:rPr>
              <w:t xml:space="preserve"> (opioïdes)</w:t>
            </w:r>
          </w:p>
        </w:tc>
      </w:tr>
      <w:tr w:rsidR="00D61B79" w:rsidRPr="003255C8" w14:paraId="602B84C6" w14:textId="77777777" w:rsidTr="008067F6">
        <w:trPr>
          <w:trHeight w:val="360"/>
        </w:trPr>
        <w:tc>
          <w:tcPr>
            <w:tcW w:w="208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F04518" w14:textId="77777777" w:rsidR="00D61B79" w:rsidRPr="003255C8" w:rsidRDefault="00D61B79" w:rsidP="00977FB7">
            <w:pPr>
              <w:jc w:val="left"/>
              <w:rPr>
                <w:rFonts w:cs="Arial"/>
                <w:color w:val="808080"/>
                <w:sz w:val="20"/>
              </w:rPr>
            </w:pPr>
            <w:r w:rsidRPr="003255C8">
              <w:rPr>
                <w:rFonts w:cs="Arial"/>
                <w:color w:val="808080"/>
                <w:sz w:val="20"/>
              </w:rPr>
              <w:t>Motif de l’examen</w:t>
            </w:r>
            <w:r w:rsidRPr="003255C8">
              <w:rPr>
                <w:rFonts w:cs="Arial"/>
                <w:i/>
                <w:color w:val="FF6600"/>
                <w:sz w:val="20"/>
              </w:rPr>
              <w:t xml:space="preserve"> </w:t>
            </w:r>
          </w:p>
        </w:tc>
        <w:tc>
          <w:tcPr>
            <w:tcW w:w="72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978DE6" w14:textId="77777777" w:rsidR="00D61B79" w:rsidRPr="00926A15" w:rsidRDefault="00D61B79" w:rsidP="00C34057">
            <w:pPr>
              <w:rPr>
                <w:rFonts w:cs="Arial"/>
                <w:b/>
                <w:sz w:val="20"/>
              </w:rPr>
            </w:pPr>
            <w:r w:rsidRPr="003255C8">
              <w:rPr>
                <w:rFonts w:cs="Arial"/>
                <w:b/>
                <w:sz w:val="20"/>
              </w:rPr>
              <w:t>Inscription</w:t>
            </w:r>
          </w:p>
        </w:tc>
      </w:tr>
      <w:tr w:rsidR="00D61B79" w:rsidRPr="00EB0B9F" w14:paraId="2E8FE0F2" w14:textId="77777777" w:rsidTr="00EB0B9F">
        <w:trPr>
          <w:trHeight w:val="534"/>
        </w:trPr>
        <w:tc>
          <w:tcPr>
            <w:tcW w:w="208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918011" w14:textId="77777777" w:rsidR="00D61B79" w:rsidRPr="00EB0B9F" w:rsidRDefault="00D61B79" w:rsidP="0023249C">
            <w:pPr>
              <w:jc w:val="left"/>
              <w:rPr>
                <w:rFonts w:cs="Arial"/>
                <w:color w:val="808080"/>
                <w:sz w:val="20"/>
              </w:rPr>
            </w:pPr>
            <w:r w:rsidRPr="00EB0B9F">
              <w:rPr>
                <w:rFonts w:cs="Arial"/>
                <w:color w:val="808080"/>
                <w:sz w:val="20"/>
              </w:rPr>
              <w:t>Listes concernées</w:t>
            </w:r>
          </w:p>
        </w:tc>
        <w:tc>
          <w:tcPr>
            <w:tcW w:w="72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EAC15F" w14:textId="77777777" w:rsidR="00D61B79" w:rsidRPr="00EB0B9F" w:rsidRDefault="00D61B79" w:rsidP="003255C8">
            <w:pPr>
              <w:jc w:val="left"/>
              <w:rPr>
                <w:rFonts w:cs="Arial"/>
                <w:b/>
                <w:sz w:val="20"/>
              </w:rPr>
            </w:pPr>
            <w:r w:rsidRPr="00EB0B9F">
              <w:rPr>
                <w:rFonts w:cs="Arial"/>
                <w:b/>
                <w:sz w:val="20"/>
              </w:rPr>
              <w:t xml:space="preserve">Sécurité Sociale </w:t>
            </w:r>
            <w:r w:rsidRPr="00EB0B9F">
              <w:rPr>
                <w:rFonts w:cs="Arial"/>
                <w:sz w:val="20"/>
              </w:rPr>
              <w:t>(CSS L.162-17)</w:t>
            </w:r>
          </w:p>
          <w:p w14:paraId="1109585F" w14:textId="77777777" w:rsidR="00D61B79" w:rsidRPr="00EB0B9F" w:rsidRDefault="00D61B79" w:rsidP="003255C8">
            <w:pPr>
              <w:jc w:val="left"/>
              <w:rPr>
                <w:rFonts w:cs="Arial"/>
                <w:b/>
                <w:sz w:val="20"/>
              </w:rPr>
            </w:pPr>
            <w:r w:rsidRPr="00EB0B9F">
              <w:rPr>
                <w:rFonts w:cs="Arial"/>
                <w:b/>
                <w:sz w:val="20"/>
              </w:rPr>
              <w:t xml:space="preserve">Collectivités </w:t>
            </w:r>
            <w:r w:rsidRPr="00EB0B9F">
              <w:rPr>
                <w:rFonts w:cs="Arial"/>
                <w:sz w:val="20"/>
              </w:rPr>
              <w:t>(CSP L.5123-2)</w:t>
            </w:r>
          </w:p>
        </w:tc>
      </w:tr>
      <w:tr w:rsidR="00D61B79" w:rsidRPr="003255C8" w14:paraId="07BBF87C" w14:textId="77777777" w:rsidTr="00EA50C2">
        <w:trPr>
          <w:trHeight w:val="1465"/>
        </w:trPr>
        <w:tc>
          <w:tcPr>
            <w:tcW w:w="208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B572BD" w14:textId="77777777" w:rsidR="00D61B79" w:rsidRPr="003255C8" w:rsidRDefault="00D61B79" w:rsidP="0023249C">
            <w:pPr>
              <w:jc w:val="left"/>
              <w:rPr>
                <w:rFonts w:cs="Arial"/>
                <w:color w:val="808080"/>
                <w:sz w:val="20"/>
              </w:rPr>
            </w:pPr>
            <w:r w:rsidRPr="003255C8">
              <w:rPr>
                <w:rFonts w:cs="Arial"/>
                <w:color w:val="808080"/>
                <w:sz w:val="20"/>
              </w:rPr>
              <w:t>Indications concernées</w:t>
            </w:r>
          </w:p>
        </w:tc>
        <w:tc>
          <w:tcPr>
            <w:tcW w:w="720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FF99CC" w14:textId="32BAE6B7" w:rsidR="00D61B79" w:rsidRPr="00164EDD" w:rsidRDefault="002E7CA6" w:rsidP="00EA50C2">
            <w:pPr>
              <w:pStyle w:val="Corpsdetexte"/>
              <w:rPr>
                <w:b/>
                <w:i w:val="0"/>
                <w:color w:val="0066CC"/>
                <w:sz w:val="20"/>
                <w:szCs w:val="20"/>
              </w:rPr>
            </w:pPr>
            <w:bookmarkStart w:id="9" w:name="_Hlk4585515"/>
            <w:r>
              <w:rPr>
                <w:b/>
                <w:i w:val="0"/>
                <w:sz w:val="20"/>
                <w:szCs w:val="20"/>
              </w:rPr>
              <w:t>«</w:t>
            </w:r>
            <w:r w:rsidR="00EA50C2">
              <w:rPr>
                <w:b/>
                <w:i w:val="0"/>
                <w:sz w:val="20"/>
                <w:szCs w:val="20"/>
              </w:rPr>
              <w:t> </w:t>
            </w:r>
            <w:r w:rsidR="00164EDD" w:rsidRPr="006C7038">
              <w:rPr>
                <w:b/>
                <w:bCs/>
                <w:i w:val="0"/>
                <w:sz w:val="20"/>
                <w:szCs w:val="20"/>
              </w:rPr>
              <w:t>ZORYON</w:t>
            </w:r>
            <w:r w:rsidR="00164EDD" w:rsidRPr="006C7038">
              <w:rPr>
                <w:b/>
                <w:bCs/>
                <w:i w:val="0"/>
                <w:sz w:val="20"/>
                <w:szCs w:val="20"/>
                <w:vertAlign w:val="superscript"/>
              </w:rPr>
              <w:t xml:space="preserve"> </w:t>
            </w:r>
            <w:r w:rsidR="00164EDD" w:rsidRPr="006C7038">
              <w:rPr>
                <w:b/>
                <w:bCs/>
                <w:i w:val="0"/>
                <w:sz w:val="20"/>
                <w:szCs w:val="20"/>
              </w:rPr>
              <w:t xml:space="preserve">est indiqué </w:t>
            </w:r>
            <w:r w:rsidR="00164EDD" w:rsidRPr="006B4A0E">
              <w:rPr>
                <w:b/>
                <w:bCs/>
                <w:i w:val="0"/>
                <w:sz w:val="20"/>
                <w:szCs w:val="20"/>
              </w:rPr>
              <w:t xml:space="preserve">chez les adultes et les adolescents à partir de 15 ans dans le </w:t>
            </w:r>
            <w:r w:rsidR="00164EDD" w:rsidRPr="00B70BA7">
              <w:rPr>
                <w:b/>
                <w:bCs/>
                <w:i w:val="0"/>
                <w:sz w:val="20"/>
                <w:szCs w:val="20"/>
              </w:rPr>
              <w:t>traitement de fond de douleurs d’origine</w:t>
            </w:r>
            <w:r w:rsidR="00164EDD" w:rsidRPr="00B70BA7">
              <w:rPr>
                <w:b/>
                <w:bCs/>
                <w:i w:val="0"/>
                <w:sz w:val="20"/>
                <w:szCs w:val="20"/>
                <w:vertAlign w:val="superscript"/>
              </w:rPr>
              <w:t xml:space="preserve"> </w:t>
            </w:r>
            <w:r w:rsidR="00164EDD" w:rsidRPr="00B70BA7">
              <w:rPr>
                <w:b/>
                <w:bCs/>
                <w:i w:val="0"/>
                <w:sz w:val="20"/>
                <w:szCs w:val="20"/>
              </w:rPr>
              <w:t>cancéreuse d’intensité modérée à sévère chez les patients qui ne sont pas soulagés de façon adéquate par d’autres opioïdes de palier 3, en raison d’une efficacité insuffisante et/ou d’effets indésirables excessifs</w:t>
            </w:r>
            <w:r w:rsidR="00164EDD" w:rsidRPr="00EA50C2">
              <w:rPr>
                <w:b/>
                <w:bCs/>
                <w:i w:val="0"/>
                <w:sz w:val="20"/>
                <w:szCs w:val="20"/>
              </w:rPr>
              <w:t>.</w:t>
            </w:r>
            <w:bookmarkEnd w:id="9"/>
            <w:r w:rsidR="00EA50C2" w:rsidRPr="00EA50C2">
              <w:rPr>
                <w:b/>
                <w:bCs/>
                <w:i w:val="0"/>
                <w:sz w:val="20"/>
                <w:szCs w:val="20"/>
              </w:rPr>
              <w:t> </w:t>
            </w:r>
            <w:r w:rsidR="00D61B79" w:rsidRPr="00EA50C2">
              <w:rPr>
                <w:b/>
                <w:i w:val="0"/>
                <w:sz w:val="20"/>
                <w:szCs w:val="20"/>
              </w:rPr>
              <w:t>»</w:t>
            </w:r>
            <w:r w:rsidR="00D61B79" w:rsidRPr="00164EDD">
              <w:rPr>
                <w:b/>
                <w:i w:val="0"/>
                <w:sz w:val="20"/>
                <w:szCs w:val="20"/>
              </w:rPr>
              <w:t xml:space="preserve"> </w:t>
            </w:r>
          </w:p>
        </w:tc>
      </w:tr>
    </w:tbl>
    <w:p w14:paraId="7C5CF505" w14:textId="77777777" w:rsidR="007F5191" w:rsidRDefault="007F5191" w:rsidP="00D61B79">
      <w:pPr>
        <w:rPr>
          <w:szCs w:val="22"/>
        </w:rPr>
      </w:pPr>
    </w:p>
    <w:p w14:paraId="4731D2F8" w14:textId="77777777" w:rsidR="00EA50C2" w:rsidRDefault="00EA50C2" w:rsidP="00D61B79">
      <w:pPr>
        <w:rPr>
          <w:szCs w:val="22"/>
        </w:rPr>
      </w:pPr>
    </w:p>
    <w:tbl>
      <w:tblPr>
        <w:tblW w:w="92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88"/>
      </w:tblGrid>
      <w:tr w:rsidR="00215248" w:rsidRPr="003255C8" w14:paraId="7A24A169" w14:textId="77777777" w:rsidTr="006C7038">
        <w:trPr>
          <w:trHeight w:val="514"/>
        </w:trPr>
        <w:tc>
          <w:tcPr>
            <w:tcW w:w="9288" w:type="dxa"/>
            <w:tcBorders>
              <w:top w:val="nil"/>
              <w:left w:val="nil"/>
              <w:bottom w:val="nil"/>
              <w:right w:val="nil"/>
            </w:tcBorders>
            <w:shd w:val="clear" w:color="auto" w:fill="D9D9D9" w:themeFill="background1" w:themeFillShade="D9"/>
            <w:vAlign w:val="center"/>
          </w:tcPr>
          <w:p w14:paraId="0813C977" w14:textId="549AD543" w:rsidR="00215248" w:rsidRPr="00B87A81" w:rsidRDefault="0028236A" w:rsidP="006C7038">
            <w:pPr>
              <w:jc w:val="center"/>
              <w:rPr>
                <w:rFonts w:cs="Arial"/>
                <w:b/>
                <w:bCs/>
                <w:i/>
                <w:color w:val="004890"/>
                <w:sz w:val="28"/>
                <w:szCs w:val="28"/>
              </w:rPr>
            </w:pPr>
            <w:r>
              <w:rPr>
                <w:rFonts w:cs="Arial"/>
                <w:b/>
                <w:bCs/>
                <w:i/>
                <w:color w:val="004890"/>
                <w:sz w:val="28"/>
                <w:szCs w:val="28"/>
              </w:rPr>
              <w:t xml:space="preserve">Avis </w:t>
            </w:r>
            <w:r w:rsidR="00215248" w:rsidRPr="00EF4145">
              <w:rPr>
                <w:rFonts w:cs="Arial"/>
                <w:b/>
                <w:bCs/>
                <w:i/>
                <w:color w:val="004890"/>
                <w:sz w:val="28"/>
                <w:szCs w:val="28"/>
              </w:rPr>
              <w:t>favorable à la prise en charge dans l’indication concernée</w:t>
            </w:r>
          </w:p>
        </w:tc>
      </w:tr>
    </w:tbl>
    <w:p w14:paraId="5BB872CC" w14:textId="2DE49F55" w:rsidR="00FE26D7" w:rsidRDefault="00FE26D7" w:rsidP="00B4542E">
      <w:pPr>
        <w:rPr>
          <w:szCs w:val="22"/>
        </w:rPr>
      </w:pPr>
    </w:p>
    <w:p w14:paraId="5E9D88FC" w14:textId="77777777" w:rsidR="006E5E87" w:rsidRDefault="006E5E87" w:rsidP="00D61B79">
      <w:pPr>
        <w:rPr>
          <w:rFonts w:cs="Arial"/>
          <w:sz w:val="18"/>
          <w:szCs w:val="18"/>
          <w:u w:val="single"/>
        </w:rPr>
        <w:sectPr w:rsidR="006E5E87" w:rsidSect="0064116D">
          <w:headerReference w:type="even" r:id="rId9"/>
          <w:headerReference w:type="default" r:id="rId10"/>
          <w:footerReference w:type="even" r:id="rId11"/>
          <w:footerReference w:type="default" r:id="rId12"/>
          <w:footerReference w:type="first" r:id="rId13"/>
          <w:pgSz w:w="11907" w:h="16840" w:code="9"/>
          <w:pgMar w:top="1134" w:right="1134" w:bottom="1134" w:left="1134" w:header="709" w:footer="709" w:gutter="0"/>
          <w:cols w:space="708"/>
          <w:docGrid w:linePitch="360"/>
        </w:sectPr>
      </w:pPr>
    </w:p>
    <w:tbl>
      <w:tblPr>
        <w:tblW w:w="96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2088"/>
        <w:gridCol w:w="7560"/>
      </w:tblGrid>
      <w:tr w:rsidR="00D61B79" w:rsidRPr="003255C8" w14:paraId="06D987BC" w14:textId="77777777" w:rsidTr="003255C8">
        <w:trPr>
          <w:trHeight w:val="348"/>
        </w:trPr>
        <w:tc>
          <w:tcPr>
            <w:tcW w:w="2088" w:type="dxa"/>
            <w:tcBorders>
              <w:bottom w:val="single" w:sz="24" w:space="0" w:color="FFFFFF"/>
              <w:right w:val="single" w:sz="8" w:space="0" w:color="FFFFFF"/>
            </w:tcBorders>
            <w:shd w:val="clear" w:color="auto" w:fill="808080"/>
            <w:vAlign w:val="center"/>
          </w:tcPr>
          <w:p w14:paraId="386814CF" w14:textId="77777777" w:rsidR="00D61B79" w:rsidRPr="003255C8" w:rsidRDefault="00D61B79" w:rsidP="000A43C6">
            <w:pPr>
              <w:rPr>
                <w:rFonts w:cs="Arial"/>
                <w:b/>
                <w:color w:val="FFFFFF"/>
                <w:sz w:val="20"/>
              </w:rPr>
            </w:pPr>
            <w:r w:rsidRPr="003255C8">
              <w:rPr>
                <w:rFonts w:cs="Arial"/>
                <w:b/>
                <w:color w:val="FFFFFF"/>
                <w:sz w:val="20"/>
              </w:rPr>
              <w:t>SMR</w:t>
            </w:r>
            <w:r w:rsidR="006C7038">
              <w:rPr>
                <w:rFonts w:cs="Arial"/>
                <w:b/>
                <w:color w:val="FFFFFF"/>
                <w:sz w:val="20"/>
              </w:rPr>
              <w:t> »</w:t>
            </w:r>
          </w:p>
        </w:tc>
        <w:tc>
          <w:tcPr>
            <w:tcW w:w="7560" w:type="dxa"/>
            <w:tcBorders>
              <w:left w:val="single" w:sz="8" w:space="0" w:color="FFFFFF"/>
              <w:bottom w:val="single" w:sz="24" w:space="0" w:color="FFFFFF"/>
            </w:tcBorders>
            <w:shd w:val="clear" w:color="auto" w:fill="E6E6E6"/>
            <w:vAlign w:val="center"/>
          </w:tcPr>
          <w:p w14:paraId="0BF310D6" w14:textId="1571BD85" w:rsidR="00D61B79" w:rsidRPr="002F06BE" w:rsidRDefault="00EA50C2" w:rsidP="000A43C6">
            <w:pPr>
              <w:rPr>
                <w:rFonts w:cs="Arial"/>
                <w:b/>
                <w:sz w:val="20"/>
              </w:rPr>
            </w:pPr>
            <w:r w:rsidRPr="002F06BE">
              <w:rPr>
                <w:rFonts w:cs="Arial"/>
                <w:b/>
                <w:sz w:val="20"/>
              </w:rPr>
              <w:t xml:space="preserve">Important </w:t>
            </w:r>
            <w:r w:rsidR="006C7038" w:rsidRPr="002F06BE">
              <w:rPr>
                <w:rFonts w:cs="Arial"/>
                <w:b/>
                <w:sz w:val="20"/>
              </w:rPr>
              <w:t>dans l’indication</w:t>
            </w:r>
            <w:r w:rsidR="00D61B79" w:rsidRPr="002F06BE">
              <w:rPr>
                <w:rFonts w:cs="Arial"/>
                <w:b/>
                <w:sz w:val="20"/>
              </w:rPr>
              <w:t xml:space="preserve"> de l’AMM</w:t>
            </w:r>
            <w:r>
              <w:rPr>
                <w:rFonts w:cs="Arial"/>
                <w:b/>
                <w:sz w:val="20"/>
              </w:rPr>
              <w:t>.</w:t>
            </w:r>
          </w:p>
        </w:tc>
      </w:tr>
      <w:tr w:rsidR="00D61B79" w:rsidRPr="003255C8" w14:paraId="40808132" w14:textId="77777777" w:rsidTr="00BB5F38">
        <w:trPr>
          <w:trHeight w:val="4453"/>
        </w:trPr>
        <w:tc>
          <w:tcPr>
            <w:tcW w:w="2088" w:type="dxa"/>
            <w:tcBorders>
              <w:bottom w:val="single" w:sz="24" w:space="0" w:color="FFFFFF"/>
              <w:right w:val="single" w:sz="8" w:space="0" w:color="FFFFFF"/>
            </w:tcBorders>
            <w:shd w:val="clear" w:color="auto" w:fill="808080"/>
            <w:vAlign w:val="center"/>
          </w:tcPr>
          <w:p w14:paraId="6238EE4B" w14:textId="77777777" w:rsidR="00D61B79" w:rsidRPr="003255C8" w:rsidRDefault="00D61B79" w:rsidP="000A43C6">
            <w:pPr>
              <w:rPr>
                <w:rFonts w:cs="Arial"/>
                <w:b/>
                <w:color w:val="FFFFFF"/>
                <w:sz w:val="20"/>
              </w:rPr>
            </w:pPr>
            <w:r w:rsidRPr="003255C8">
              <w:rPr>
                <w:rFonts w:cs="Arial"/>
                <w:b/>
                <w:color w:val="FFFFFF"/>
                <w:sz w:val="20"/>
              </w:rPr>
              <w:t>ASMR</w:t>
            </w:r>
          </w:p>
        </w:tc>
        <w:tc>
          <w:tcPr>
            <w:tcW w:w="7560" w:type="dxa"/>
            <w:tcBorders>
              <w:left w:val="single" w:sz="8" w:space="0" w:color="FFFFFF"/>
              <w:bottom w:val="single" w:sz="24" w:space="0" w:color="FFFFFF"/>
            </w:tcBorders>
            <w:shd w:val="clear" w:color="auto" w:fill="E6E6E6"/>
            <w:vAlign w:val="center"/>
          </w:tcPr>
          <w:p w14:paraId="7739DD9D" w14:textId="77777777" w:rsidR="00653AF7" w:rsidRPr="00653AF7" w:rsidRDefault="00653AF7" w:rsidP="00653AF7">
            <w:pPr>
              <w:autoSpaceDE w:val="0"/>
              <w:autoSpaceDN w:val="0"/>
              <w:adjustRightInd w:val="0"/>
              <w:ind w:left="284" w:hanging="284"/>
              <w:rPr>
                <w:rFonts w:eastAsia="Arial-BoldMT" w:cs="Arial"/>
                <w:b/>
                <w:bCs/>
                <w:sz w:val="20"/>
              </w:rPr>
            </w:pPr>
            <w:r w:rsidRPr="00653AF7">
              <w:rPr>
                <w:rFonts w:eastAsia="Arial-BoldMT" w:cs="Arial"/>
                <w:b/>
                <w:bCs/>
                <w:sz w:val="20"/>
              </w:rPr>
              <w:t>Prenant en compte :</w:t>
            </w:r>
          </w:p>
          <w:p w14:paraId="01F7CD52" w14:textId="77777777" w:rsidR="00653AF7" w:rsidRPr="00653AF7" w:rsidRDefault="00653AF7" w:rsidP="00653AF7">
            <w:pPr>
              <w:pStyle w:val="PrformatHTML"/>
              <w:numPr>
                <w:ilvl w:val="0"/>
                <w:numId w:val="1"/>
              </w:numPr>
              <w:tabs>
                <w:tab w:val="clear" w:pos="720"/>
              </w:tabs>
              <w:ind w:left="184" w:hanging="184"/>
              <w:jc w:val="both"/>
              <w:rPr>
                <w:rFonts w:ascii="Arial" w:hAnsi="Arial" w:cs="Arial"/>
                <w:b/>
              </w:rPr>
            </w:pPr>
            <w:r w:rsidRPr="00653AF7">
              <w:rPr>
                <w:rFonts w:ascii="Arial" w:hAnsi="Arial" w:cs="Arial"/>
                <w:b/>
              </w:rPr>
              <w:t>les propriétés analgésiques connues de la méthadone et les données cliniques qui plaident en faveur de l’efficacité du produit dans la prise en charge des douleurs d’origine cancéreuse chez les patients qui nécessitent une rotation d’opioïde de palier III,</w:t>
            </w:r>
          </w:p>
          <w:p w14:paraId="1A8C6AE1" w14:textId="77777777" w:rsidR="00653AF7" w:rsidRPr="00653AF7" w:rsidRDefault="00653AF7" w:rsidP="00653AF7">
            <w:pPr>
              <w:pStyle w:val="PrformatHTML"/>
              <w:numPr>
                <w:ilvl w:val="0"/>
                <w:numId w:val="1"/>
              </w:numPr>
              <w:tabs>
                <w:tab w:val="clear" w:pos="720"/>
              </w:tabs>
              <w:ind w:left="184" w:hanging="184"/>
              <w:jc w:val="both"/>
              <w:rPr>
                <w:rFonts w:ascii="Arial" w:hAnsi="Arial" w:cs="Arial"/>
                <w:b/>
              </w:rPr>
            </w:pPr>
            <w:r w:rsidRPr="00653AF7">
              <w:rPr>
                <w:rFonts w:ascii="Arial" w:hAnsi="Arial" w:cs="Arial"/>
                <w:b/>
              </w:rPr>
              <w:t>l’impact potentiel de cet antalgique opioïde, indiqué dans la pharmacodépendance majeure aux opiacés, sur le parcours de soins ou de vie de ces patients,</w:t>
            </w:r>
          </w:p>
          <w:p w14:paraId="17ECF40A" w14:textId="77777777" w:rsidR="00653AF7" w:rsidRPr="00653AF7" w:rsidRDefault="00653AF7" w:rsidP="00653AF7">
            <w:pPr>
              <w:pStyle w:val="Paragraphedeliste"/>
              <w:numPr>
                <w:ilvl w:val="0"/>
                <w:numId w:val="1"/>
              </w:numPr>
              <w:tabs>
                <w:tab w:val="clear" w:pos="720"/>
              </w:tabs>
              <w:autoSpaceDE w:val="0"/>
              <w:autoSpaceDN w:val="0"/>
              <w:adjustRightInd w:val="0"/>
              <w:ind w:left="184" w:hanging="184"/>
              <w:rPr>
                <w:rFonts w:eastAsia="Arial-BoldMT" w:cs="Arial"/>
                <w:b/>
                <w:bCs/>
                <w:color w:val="000000" w:themeColor="text1"/>
                <w:sz w:val="20"/>
              </w:rPr>
            </w:pPr>
            <w:r w:rsidRPr="00653AF7">
              <w:rPr>
                <w:rFonts w:eastAsia="Arial-BoldMT" w:cs="Arial"/>
                <w:b/>
                <w:bCs/>
                <w:sz w:val="20"/>
              </w:rPr>
              <w:t xml:space="preserve">l’absence de données cliniques permettant de conclure à la supériorité de la méthadone en termes d’efficacité et/ou de tolérance par rapport aux autres antalgiques utilisés dans le </w:t>
            </w:r>
            <w:r w:rsidRPr="00653AF7">
              <w:rPr>
                <w:rFonts w:eastAsia="Arial-BoldMT" w:cs="Arial"/>
                <w:b/>
                <w:bCs/>
                <w:color w:val="000000" w:themeColor="text1"/>
                <w:sz w:val="20"/>
              </w:rPr>
              <w:t>cadre d’une rotation d’opioïde de palier III et,</w:t>
            </w:r>
          </w:p>
          <w:p w14:paraId="785AD3E2" w14:textId="77777777" w:rsidR="00653AF7" w:rsidRPr="00653AF7" w:rsidRDefault="00653AF7" w:rsidP="00653AF7">
            <w:pPr>
              <w:pStyle w:val="Paragraphedeliste"/>
              <w:numPr>
                <w:ilvl w:val="0"/>
                <w:numId w:val="1"/>
              </w:numPr>
              <w:tabs>
                <w:tab w:val="clear" w:pos="720"/>
              </w:tabs>
              <w:autoSpaceDE w:val="0"/>
              <w:autoSpaceDN w:val="0"/>
              <w:adjustRightInd w:val="0"/>
              <w:ind w:left="184" w:hanging="184"/>
              <w:rPr>
                <w:rFonts w:eastAsia="Arial-BoldMT" w:cs="Arial"/>
                <w:bCs/>
                <w:sz w:val="20"/>
              </w:rPr>
            </w:pPr>
            <w:r w:rsidRPr="00653AF7">
              <w:rPr>
                <w:rFonts w:eastAsia="Arial-BoldMT" w:cs="Arial"/>
                <w:b/>
                <w:bCs/>
                <w:color w:val="000000" w:themeColor="text1"/>
                <w:sz w:val="20"/>
              </w:rPr>
              <w:t xml:space="preserve">la nécessité d’une prise en charge hospitalière pour l’instauration du produit et d’un suivi rapproché du patient </w:t>
            </w:r>
            <w:r w:rsidRPr="00653AF7">
              <w:rPr>
                <w:rFonts w:eastAsia="Arial-BoldMT" w:cs="Arial"/>
                <w:b/>
                <w:bCs/>
                <w:sz w:val="20"/>
              </w:rPr>
              <w:t xml:space="preserve">par un médecin expérimenté dans l’utilisation de la méthadone, </w:t>
            </w:r>
          </w:p>
          <w:p w14:paraId="3D1A9986" w14:textId="314F1DB1" w:rsidR="00D61B79" w:rsidRPr="002F06BE" w:rsidRDefault="00970E6C" w:rsidP="000A43C6">
            <w:pPr>
              <w:rPr>
                <w:rFonts w:cs="Arial"/>
                <w:b/>
                <w:i/>
                <w:sz w:val="20"/>
              </w:rPr>
            </w:pPr>
            <w:r w:rsidRPr="00653AF7">
              <w:rPr>
                <w:rFonts w:cs="Arial"/>
                <w:b/>
                <w:sz w:val="20"/>
              </w:rPr>
              <w:t xml:space="preserve">La Commission considère que ZORYON n’apporte pas d’amélioration du service médical rendu (ASMR V) dans la stratégie de prise en charge </w:t>
            </w:r>
            <w:r w:rsidR="00DF6D6C">
              <w:rPr>
                <w:rFonts w:cs="Arial"/>
                <w:b/>
                <w:sz w:val="20"/>
              </w:rPr>
              <w:t>de</w:t>
            </w:r>
            <w:r w:rsidRPr="00653AF7">
              <w:rPr>
                <w:rFonts w:cs="Arial"/>
                <w:b/>
                <w:sz w:val="20"/>
              </w:rPr>
              <w:t xml:space="preserve"> </w:t>
            </w:r>
            <w:r w:rsidR="00DF6D6C">
              <w:rPr>
                <w:rFonts w:cs="Arial"/>
                <w:b/>
                <w:sz w:val="20"/>
              </w:rPr>
              <w:t xml:space="preserve">la </w:t>
            </w:r>
            <w:r w:rsidRPr="00653AF7">
              <w:rPr>
                <w:rFonts w:cs="Arial"/>
                <w:b/>
                <w:sz w:val="20"/>
              </w:rPr>
              <w:t xml:space="preserve">douleur chronique d’origine cancéreuse </w:t>
            </w:r>
            <w:r w:rsidR="00BB5F38">
              <w:rPr>
                <w:rFonts w:cs="Arial"/>
                <w:b/>
                <w:sz w:val="20"/>
              </w:rPr>
              <w:t>non</w:t>
            </w:r>
            <w:r w:rsidR="002B344B">
              <w:rPr>
                <w:rFonts w:cs="Arial"/>
                <w:b/>
                <w:sz w:val="20"/>
              </w:rPr>
              <w:t xml:space="preserve"> </w:t>
            </w:r>
            <w:r w:rsidRPr="00653AF7">
              <w:rPr>
                <w:rFonts w:cs="Arial"/>
                <w:b/>
                <w:sz w:val="20"/>
              </w:rPr>
              <w:t>soulagé</w:t>
            </w:r>
            <w:r w:rsidR="00BB5F38">
              <w:rPr>
                <w:rFonts w:cs="Arial"/>
                <w:b/>
                <w:sz w:val="20"/>
              </w:rPr>
              <w:t>e</w:t>
            </w:r>
            <w:r w:rsidR="002B344B">
              <w:rPr>
                <w:rFonts w:cs="Arial"/>
                <w:b/>
                <w:sz w:val="20"/>
              </w:rPr>
              <w:t xml:space="preserve"> de façon adéquate</w:t>
            </w:r>
            <w:r w:rsidRPr="00653AF7">
              <w:rPr>
                <w:rFonts w:cs="Arial"/>
                <w:b/>
                <w:sz w:val="20"/>
              </w:rPr>
              <w:t xml:space="preserve"> par d’autres opioïdes de palier III.</w:t>
            </w:r>
          </w:p>
        </w:tc>
      </w:tr>
      <w:tr w:rsidR="00794E7D" w:rsidRPr="008A2B1D" w14:paraId="3BD0FEEA" w14:textId="77777777" w:rsidTr="006C7038">
        <w:trPr>
          <w:trHeight w:val="348"/>
        </w:trPr>
        <w:tc>
          <w:tcPr>
            <w:tcW w:w="2088" w:type="dxa"/>
            <w:tcBorders>
              <w:bottom w:val="single" w:sz="24" w:space="0" w:color="FFFFFF"/>
              <w:right w:val="single" w:sz="8" w:space="0" w:color="FFFFFF"/>
            </w:tcBorders>
            <w:shd w:val="clear" w:color="auto" w:fill="808080"/>
            <w:vAlign w:val="center"/>
          </w:tcPr>
          <w:p w14:paraId="1CE93B00" w14:textId="77777777" w:rsidR="00794E7D" w:rsidRPr="008B1EFF" w:rsidRDefault="00794E7D" w:rsidP="006C7038">
            <w:pPr>
              <w:rPr>
                <w:rFonts w:cs="Arial"/>
                <w:b/>
                <w:color w:val="FFFFFF" w:themeColor="background1"/>
                <w:sz w:val="20"/>
              </w:rPr>
            </w:pPr>
            <w:r w:rsidRPr="008B1EFF">
              <w:rPr>
                <w:rFonts w:cs="Arial"/>
                <w:b/>
                <w:color w:val="FFFFFF" w:themeColor="background1"/>
                <w:sz w:val="20"/>
              </w:rPr>
              <w:t>ISP</w:t>
            </w:r>
          </w:p>
        </w:tc>
        <w:tc>
          <w:tcPr>
            <w:tcW w:w="7560" w:type="dxa"/>
            <w:tcBorders>
              <w:left w:val="single" w:sz="8" w:space="0" w:color="FFFFFF"/>
              <w:bottom w:val="single" w:sz="24" w:space="0" w:color="FFFFFF"/>
            </w:tcBorders>
            <w:shd w:val="clear" w:color="auto" w:fill="E6E6E6"/>
            <w:vAlign w:val="center"/>
          </w:tcPr>
          <w:p w14:paraId="3A892EB1" w14:textId="33B67835" w:rsidR="00794E7D" w:rsidRPr="002F06BE" w:rsidRDefault="000F65C7" w:rsidP="000F65C7">
            <w:pPr>
              <w:rPr>
                <w:rFonts w:cs="Arial"/>
                <w:b/>
                <w:bCs/>
                <w:sz w:val="20"/>
              </w:rPr>
            </w:pPr>
            <w:r w:rsidRPr="002F06BE">
              <w:rPr>
                <w:rFonts w:cs="Arial"/>
                <w:b/>
                <w:sz w:val="20"/>
              </w:rPr>
              <w:t>ZORYON n’est pas susceptible d’avoir un impact sur la santé publique.</w:t>
            </w:r>
          </w:p>
        </w:tc>
      </w:tr>
      <w:tr w:rsidR="00D61B79" w:rsidRPr="003255C8" w14:paraId="4BD1AB72" w14:textId="77777777" w:rsidTr="003255C8">
        <w:trPr>
          <w:trHeight w:val="348"/>
        </w:trPr>
        <w:tc>
          <w:tcPr>
            <w:tcW w:w="2088" w:type="dxa"/>
            <w:tcBorders>
              <w:top w:val="single" w:sz="24" w:space="0" w:color="FFFFFF"/>
              <w:bottom w:val="single" w:sz="24" w:space="0" w:color="FFFFFF"/>
              <w:right w:val="single" w:sz="8" w:space="0" w:color="FFFFFF"/>
            </w:tcBorders>
            <w:shd w:val="clear" w:color="auto" w:fill="808080"/>
            <w:vAlign w:val="center"/>
          </w:tcPr>
          <w:p w14:paraId="5BD01CD7" w14:textId="77777777" w:rsidR="00D61B79" w:rsidRPr="003255C8" w:rsidRDefault="00D61B79" w:rsidP="003255C8">
            <w:pPr>
              <w:jc w:val="left"/>
              <w:rPr>
                <w:rFonts w:cs="Arial"/>
                <w:b/>
                <w:color w:val="FFFFFF"/>
                <w:sz w:val="20"/>
              </w:rPr>
            </w:pPr>
            <w:r w:rsidRPr="003255C8">
              <w:rPr>
                <w:rFonts w:cs="Arial"/>
                <w:b/>
                <w:color w:val="FFFFFF"/>
                <w:sz w:val="20"/>
              </w:rPr>
              <w:t>Place dans la stratégie thérapeutique</w:t>
            </w:r>
          </w:p>
        </w:tc>
        <w:tc>
          <w:tcPr>
            <w:tcW w:w="7560" w:type="dxa"/>
            <w:tcBorders>
              <w:top w:val="single" w:sz="24" w:space="0" w:color="FFFFFF"/>
              <w:left w:val="single" w:sz="8" w:space="0" w:color="FFFFFF"/>
              <w:bottom w:val="single" w:sz="24" w:space="0" w:color="FFFFFF"/>
            </w:tcBorders>
            <w:shd w:val="clear" w:color="auto" w:fill="E6E6E6"/>
            <w:vAlign w:val="center"/>
          </w:tcPr>
          <w:p w14:paraId="30FF7E9A" w14:textId="760226C8" w:rsidR="002F06BE" w:rsidRDefault="000F65C7" w:rsidP="000A43C6">
            <w:pPr>
              <w:rPr>
                <w:rFonts w:cs="Arial"/>
                <w:b/>
                <w:bCs/>
                <w:sz w:val="20"/>
              </w:rPr>
            </w:pPr>
            <w:bookmarkStart w:id="10" w:name="_Hlk3215529"/>
            <w:r w:rsidRPr="002F06BE">
              <w:rPr>
                <w:rFonts w:cs="Arial"/>
                <w:b/>
                <w:bCs/>
                <w:iCs/>
                <w:sz w:val="20"/>
              </w:rPr>
              <w:t xml:space="preserve">La méthadone est utilisée hors AMM depuis de nombreuses années, dans la prise en charge de patients ayant des douleurs chroniques d’origine cancéreuse. Un traitement par ZORYON </w:t>
            </w:r>
            <w:r w:rsidRPr="002F06BE">
              <w:rPr>
                <w:rFonts w:cs="Arial"/>
                <w:b/>
                <w:bCs/>
                <w:sz w:val="20"/>
              </w:rPr>
              <w:t>pourra être instauré chez ces patients à l’occasion d’une rotation d’opioïde de palier III.</w:t>
            </w:r>
            <w:bookmarkEnd w:id="10"/>
          </w:p>
          <w:p w14:paraId="2F2A5F82" w14:textId="496FD289" w:rsidR="002F06BE" w:rsidRPr="002F06BE" w:rsidRDefault="00A325DA" w:rsidP="002F06BE">
            <w:pPr>
              <w:rPr>
                <w:rFonts w:cs="Arial"/>
                <w:b/>
                <w:bCs/>
                <w:color w:val="000000" w:themeColor="text1"/>
                <w:sz w:val="20"/>
              </w:rPr>
            </w:pPr>
            <w:r w:rsidRPr="002F06BE">
              <w:rPr>
                <w:rFonts w:cs="Arial"/>
                <w:b/>
                <w:bCs/>
                <w:color w:val="000000" w:themeColor="text1"/>
                <w:sz w:val="20"/>
              </w:rPr>
              <w:t xml:space="preserve">Les </w:t>
            </w:r>
            <w:r w:rsidRPr="002F06BE">
              <w:rPr>
                <w:rFonts w:cs="Arial"/>
                <w:b/>
                <w:bCs/>
                <w:sz w:val="20"/>
              </w:rPr>
              <w:t>caractéristiques pharmacocinétiques et les données de tolérance de la méthadone incitent à la prudence lors de l’instauration du traitement ; cette instauration sera effectuée</w:t>
            </w:r>
            <w:r w:rsidRPr="002F06BE">
              <w:rPr>
                <w:rFonts w:cs="Arial"/>
                <w:b/>
                <w:bCs/>
                <w:color w:val="000000" w:themeColor="text1"/>
                <w:sz w:val="20"/>
              </w:rPr>
              <w:t xml:space="preserve"> en milieu hospitalier par une équipe spécialisée dans la prise en charge de la douleur ou des soins palliatifs et expérimentée dans l’utilisation du produit.</w:t>
            </w:r>
            <w:r w:rsidR="002F06BE">
              <w:rPr>
                <w:rFonts w:cs="Arial"/>
                <w:b/>
                <w:bCs/>
                <w:color w:val="000000" w:themeColor="text1"/>
                <w:sz w:val="20"/>
              </w:rPr>
              <w:t xml:space="preserve"> </w:t>
            </w:r>
            <w:r w:rsidR="002F06BE" w:rsidRPr="002F06BE">
              <w:rPr>
                <w:rFonts w:cs="Arial"/>
                <w:b/>
                <w:bCs/>
                <w:sz w:val="20"/>
              </w:rPr>
              <w:t xml:space="preserve">Le choix du protocole à utiliser lors de l’instauration du traitement est laissé à l’appréciation de l’équipe hospitalière. </w:t>
            </w:r>
          </w:p>
          <w:p w14:paraId="59EF4908" w14:textId="22B82C11" w:rsidR="00D61B79" w:rsidRPr="002F06BE" w:rsidRDefault="002F06BE" w:rsidP="000A43C6">
            <w:pPr>
              <w:rPr>
                <w:b/>
                <w:bCs/>
                <w:iCs/>
                <w:color w:val="000000" w:themeColor="text1"/>
                <w:sz w:val="20"/>
              </w:rPr>
            </w:pPr>
            <w:r w:rsidRPr="002F06BE">
              <w:rPr>
                <w:b/>
                <w:bCs/>
                <w:iCs/>
                <w:color w:val="000000" w:themeColor="text1"/>
                <w:sz w:val="20"/>
              </w:rPr>
              <w:t xml:space="preserve">Un suivi rapproché du patient et une réévaluation périodique et pluridisciplinaire de la pertinence de la prescription sont nécessaires sous traitement opioïde ; la situation clinique du patient devra faire l’objet d’évaluations régulières attentives et conjointes entre le médecin algologue ou </w:t>
            </w:r>
            <w:r w:rsidR="001A763A">
              <w:rPr>
                <w:b/>
                <w:bCs/>
                <w:iCs/>
                <w:color w:val="000000" w:themeColor="text1"/>
                <w:sz w:val="20"/>
              </w:rPr>
              <w:t>formé aux</w:t>
            </w:r>
            <w:r w:rsidRPr="002F06BE">
              <w:rPr>
                <w:b/>
                <w:bCs/>
                <w:iCs/>
                <w:color w:val="000000" w:themeColor="text1"/>
                <w:sz w:val="20"/>
              </w:rPr>
              <w:t xml:space="preserve"> soins palliatifs et l’oncologue.</w:t>
            </w:r>
          </w:p>
        </w:tc>
      </w:tr>
      <w:tr w:rsidR="00D61B79" w:rsidRPr="003255C8" w14:paraId="0ACEC1E2" w14:textId="77777777" w:rsidTr="009F04D2">
        <w:trPr>
          <w:trHeight w:val="348"/>
        </w:trPr>
        <w:tc>
          <w:tcPr>
            <w:tcW w:w="2088" w:type="dxa"/>
            <w:tcBorders>
              <w:top w:val="single" w:sz="24" w:space="0" w:color="FFFFFF"/>
              <w:bottom w:val="single" w:sz="24" w:space="0" w:color="FFFFFF"/>
              <w:right w:val="single" w:sz="8" w:space="0" w:color="FFFFFF"/>
            </w:tcBorders>
            <w:shd w:val="clear" w:color="auto" w:fill="808080"/>
            <w:vAlign w:val="center"/>
          </w:tcPr>
          <w:p w14:paraId="45AB11B3" w14:textId="77777777" w:rsidR="00D61B79" w:rsidRPr="003255C8" w:rsidRDefault="006C7038" w:rsidP="000A43C6">
            <w:pPr>
              <w:rPr>
                <w:rFonts w:cs="Arial"/>
                <w:b/>
                <w:color w:val="FFFFFF"/>
                <w:sz w:val="20"/>
              </w:rPr>
            </w:pPr>
            <w:r>
              <w:rPr>
                <w:rFonts w:cs="Arial"/>
                <w:b/>
                <w:color w:val="FFFFFF"/>
                <w:sz w:val="20"/>
              </w:rPr>
              <w:t xml:space="preserve">Population cible </w:t>
            </w:r>
          </w:p>
        </w:tc>
        <w:tc>
          <w:tcPr>
            <w:tcW w:w="7560" w:type="dxa"/>
            <w:tcBorders>
              <w:top w:val="single" w:sz="24" w:space="0" w:color="FFFFFF"/>
              <w:left w:val="single" w:sz="8" w:space="0" w:color="FFFFFF"/>
              <w:bottom w:val="single" w:sz="24" w:space="0" w:color="FFFFFF"/>
            </w:tcBorders>
            <w:shd w:val="clear" w:color="auto" w:fill="E6E6E6"/>
            <w:vAlign w:val="center"/>
          </w:tcPr>
          <w:p w14:paraId="4ED2DF56" w14:textId="0EAC87BE" w:rsidR="00D61B79" w:rsidRPr="002F06BE" w:rsidRDefault="00CF6B65" w:rsidP="000A43C6">
            <w:pPr>
              <w:rPr>
                <w:b/>
                <w:bCs/>
                <w:sz w:val="20"/>
              </w:rPr>
            </w:pPr>
            <w:r w:rsidRPr="002F06BE">
              <w:rPr>
                <w:b/>
                <w:bCs/>
                <w:sz w:val="20"/>
              </w:rPr>
              <w:t>Compte-tenu du profil des patients susceptibles de bénéficier d’un traitement par ZORYON, du nombre de centres hospitaliers susceptibles d’instaurer le traitement et des capacités organisationnelles de suivi de ces patients par des médecins expérimentés dans l’utilisation de la méthadone, une estimation de la population cible maximale de cet analgésique opioïde fort en France pourrait être de 10 000 patients.</w:t>
            </w:r>
          </w:p>
        </w:tc>
      </w:tr>
      <w:tr w:rsidR="009F04D2" w:rsidRPr="003255C8" w14:paraId="78819832" w14:textId="77777777" w:rsidTr="000E2DC1">
        <w:trPr>
          <w:trHeight w:val="139"/>
        </w:trPr>
        <w:tc>
          <w:tcPr>
            <w:tcW w:w="2088" w:type="dxa"/>
            <w:tcBorders>
              <w:top w:val="single" w:sz="24" w:space="0" w:color="FFFFFF"/>
              <w:right w:val="single" w:sz="8" w:space="0" w:color="FFFFFF"/>
            </w:tcBorders>
            <w:shd w:val="clear" w:color="auto" w:fill="808080"/>
            <w:vAlign w:val="center"/>
          </w:tcPr>
          <w:p w14:paraId="6A702FE6" w14:textId="64C0D7AE" w:rsidR="009F04D2" w:rsidRDefault="009F04D2" w:rsidP="000A43C6">
            <w:pPr>
              <w:rPr>
                <w:rFonts w:cs="Arial"/>
                <w:b/>
                <w:color w:val="FFFFFF"/>
                <w:sz w:val="20"/>
              </w:rPr>
            </w:pPr>
            <w:r>
              <w:rPr>
                <w:rFonts w:cs="Arial"/>
                <w:b/>
                <w:color w:val="FFFFFF"/>
                <w:sz w:val="20"/>
              </w:rPr>
              <w:t>Recommandations</w:t>
            </w:r>
          </w:p>
        </w:tc>
        <w:tc>
          <w:tcPr>
            <w:tcW w:w="7560" w:type="dxa"/>
            <w:tcBorders>
              <w:top w:val="single" w:sz="24" w:space="0" w:color="FFFFFF"/>
              <w:left w:val="single" w:sz="8" w:space="0" w:color="FFFFFF"/>
            </w:tcBorders>
            <w:shd w:val="clear" w:color="auto" w:fill="E6E6E6"/>
            <w:vAlign w:val="center"/>
          </w:tcPr>
          <w:p w14:paraId="29EA4552" w14:textId="77777777" w:rsidR="000E2DC1" w:rsidRPr="000E2DC1" w:rsidRDefault="000E2DC1" w:rsidP="000E2DC1">
            <w:pPr>
              <w:pStyle w:val="Titrepuce"/>
              <w:rPr>
                <w:sz w:val="20"/>
                <w:szCs w:val="20"/>
              </w:rPr>
            </w:pPr>
            <w:r w:rsidRPr="000E2DC1">
              <w:rPr>
                <w:sz w:val="20"/>
                <w:szCs w:val="20"/>
              </w:rPr>
              <w:t>Demandes particulières inhérentes à la prise en charge</w:t>
            </w:r>
          </w:p>
          <w:p w14:paraId="1B72245F" w14:textId="77777777" w:rsidR="000E2DC1" w:rsidRPr="000E2DC1" w:rsidRDefault="000E2DC1" w:rsidP="000E2DC1">
            <w:pPr>
              <w:rPr>
                <w:rFonts w:cs="Arial"/>
                <w:b/>
                <w:color w:val="000000" w:themeColor="text1"/>
                <w:sz w:val="20"/>
              </w:rPr>
            </w:pPr>
            <w:r w:rsidRPr="000E2DC1">
              <w:rPr>
                <w:rFonts w:cs="Arial"/>
                <w:b/>
                <w:color w:val="000000" w:themeColor="text1"/>
                <w:sz w:val="20"/>
              </w:rPr>
              <w:t xml:space="preserve">La Commission souhaite que le traitement par naloxone, antidote aux surdoses d'opioïdes, soit rendu accessible aux patients traités par cet antalgique et à leur entourage. </w:t>
            </w:r>
          </w:p>
          <w:p w14:paraId="04EA123A" w14:textId="6168039C" w:rsidR="000E2DC1" w:rsidRPr="000E2DC1" w:rsidRDefault="000E2DC1" w:rsidP="000E2DC1">
            <w:pPr>
              <w:autoSpaceDE w:val="0"/>
              <w:autoSpaceDN w:val="0"/>
              <w:adjustRightInd w:val="0"/>
              <w:rPr>
                <w:rFonts w:cs="Arial"/>
                <w:b/>
                <w:sz w:val="20"/>
              </w:rPr>
            </w:pPr>
            <w:r w:rsidRPr="000E2DC1">
              <w:rPr>
                <w:rFonts w:cs="Arial"/>
                <w:b/>
                <w:sz w:val="20"/>
              </w:rPr>
              <w:t>La naloxone est indiqué</w:t>
            </w:r>
            <w:r>
              <w:rPr>
                <w:rFonts w:cs="Arial"/>
                <w:b/>
                <w:sz w:val="20"/>
              </w:rPr>
              <w:t>e</w:t>
            </w:r>
            <w:r w:rsidRPr="000E2DC1">
              <w:rPr>
                <w:rFonts w:cs="Arial"/>
                <w:b/>
                <w:sz w:val="20"/>
              </w:rPr>
              <w:t xml:space="preserve"> dans le traitement d’urgence des surdosages aux opioïdes, caractérisés ou suspectés, se manifestant par une dépression respiratoire et/ou une dépression du système nerveux central, dans l’attente d’une prise en charge par une structure médicalisée.</w:t>
            </w:r>
          </w:p>
          <w:p w14:paraId="39890EBF" w14:textId="77777777" w:rsidR="000E2DC1" w:rsidRPr="000E2DC1" w:rsidRDefault="000E2DC1" w:rsidP="000E2DC1">
            <w:pPr>
              <w:pStyle w:val="Titrepuce"/>
              <w:spacing w:before="60"/>
              <w:ind w:left="357" w:hanging="357"/>
              <w:rPr>
                <w:sz w:val="20"/>
                <w:szCs w:val="20"/>
              </w:rPr>
            </w:pPr>
            <w:r w:rsidRPr="000E2DC1">
              <w:rPr>
                <w:sz w:val="20"/>
                <w:szCs w:val="20"/>
              </w:rPr>
              <w:t>Demandes de données</w:t>
            </w:r>
          </w:p>
          <w:p w14:paraId="5A077E11" w14:textId="77777777" w:rsidR="000E2DC1" w:rsidRPr="000E2DC1" w:rsidRDefault="000E2DC1" w:rsidP="000E2DC1">
            <w:pPr>
              <w:rPr>
                <w:rFonts w:cs="Arial"/>
                <w:b/>
                <w:sz w:val="20"/>
              </w:rPr>
            </w:pPr>
            <w:r w:rsidRPr="000E2DC1">
              <w:rPr>
                <w:rFonts w:cs="Arial"/>
                <w:b/>
                <w:sz w:val="20"/>
              </w:rPr>
              <w:t>Compte tenu des interrogations portant sur la tolérance et les modalités pratiques d’utilisation du produit par les prescripteurs, la Commission souhaite disposer des données, demandées par l’ANSM (cf. 8.6) lors de sa prochaine évaluation. La Commission étudiera l’opportunité de prendre en considération les résultats de cette étude.</w:t>
            </w:r>
          </w:p>
          <w:p w14:paraId="73CB1A73" w14:textId="77777777" w:rsidR="000E2DC1" w:rsidRPr="000E2DC1" w:rsidRDefault="000E2DC1" w:rsidP="000E2DC1">
            <w:pPr>
              <w:pStyle w:val="Titrepuce"/>
              <w:spacing w:before="60"/>
              <w:ind w:left="357" w:hanging="357"/>
              <w:rPr>
                <w:sz w:val="20"/>
                <w:szCs w:val="20"/>
              </w:rPr>
            </w:pPr>
            <w:r w:rsidRPr="000E2DC1">
              <w:rPr>
                <w:sz w:val="20"/>
                <w:szCs w:val="20"/>
              </w:rPr>
              <w:t>Autres demandes</w:t>
            </w:r>
          </w:p>
          <w:p w14:paraId="51C2994C" w14:textId="6570F678" w:rsidR="000E2DC1" w:rsidRPr="000E2DC1" w:rsidRDefault="000E2DC1" w:rsidP="000E2DC1">
            <w:pPr>
              <w:autoSpaceDE w:val="0"/>
              <w:autoSpaceDN w:val="0"/>
              <w:adjustRightInd w:val="0"/>
              <w:rPr>
                <w:rFonts w:cs="Arial"/>
                <w:b/>
                <w:sz w:val="20"/>
              </w:rPr>
            </w:pPr>
            <w:r w:rsidRPr="000E2DC1">
              <w:rPr>
                <w:rFonts w:cs="Arial"/>
                <w:b/>
                <w:sz w:val="20"/>
              </w:rPr>
              <w:t>Après obtention de la posologie optimale, la poursuite éventuelle du traitement à domicile</w:t>
            </w:r>
            <w:r w:rsidR="00AE2353">
              <w:rPr>
                <w:rFonts w:cs="Arial"/>
                <w:b/>
                <w:sz w:val="20"/>
              </w:rPr>
              <w:t xml:space="preserve"> </w:t>
            </w:r>
            <w:r w:rsidRPr="000E2DC1">
              <w:rPr>
                <w:rFonts w:cs="Arial"/>
                <w:b/>
                <w:sz w:val="20"/>
              </w:rPr>
              <w:t>nécessite une collaboration étroite entre l’équipe hospitalière qui a instauré le traitement et le médecin traitant</w:t>
            </w:r>
            <w:r w:rsidR="00AE2353">
              <w:rPr>
                <w:rFonts w:cs="Arial"/>
                <w:b/>
                <w:sz w:val="20"/>
              </w:rPr>
              <w:t xml:space="preserve">, </w:t>
            </w:r>
            <w:r w:rsidR="00AE2353" w:rsidRPr="000E2DC1">
              <w:rPr>
                <w:rFonts w:cs="Arial"/>
                <w:b/>
                <w:sz w:val="20"/>
              </w:rPr>
              <w:t>le cas échéant dans le cadre d’une HAD ou d’un réseau de soins palliatifs</w:t>
            </w:r>
            <w:r w:rsidR="00AE2353">
              <w:rPr>
                <w:rFonts w:cs="Arial"/>
                <w:b/>
                <w:sz w:val="20"/>
              </w:rPr>
              <w:t>.</w:t>
            </w:r>
          </w:p>
          <w:p w14:paraId="6CEA6DC2" w14:textId="21155029" w:rsidR="009F04D2" w:rsidRPr="000E2DC1" w:rsidRDefault="000E2DC1" w:rsidP="007D55A8">
            <w:pPr>
              <w:autoSpaceDE w:val="0"/>
              <w:autoSpaceDN w:val="0"/>
              <w:adjustRightInd w:val="0"/>
              <w:spacing w:before="60"/>
              <w:rPr>
                <w:rFonts w:cs="Arial"/>
                <w:b/>
                <w:sz w:val="20"/>
              </w:rPr>
            </w:pPr>
            <w:r w:rsidRPr="000E2DC1">
              <w:rPr>
                <w:rFonts w:cs="Arial"/>
                <w:b/>
                <w:sz w:val="20"/>
              </w:rPr>
              <w:t xml:space="preserve">La </w:t>
            </w:r>
            <w:r w:rsidR="00EA50C2" w:rsidRPr="000E2DC1">
              <w:rPr>
                <w:rFonts w:cs="Arial"/>
                <w:b/>
                <w:sz w:val="20"/>
              </w:rPr>
              <w:t xml:space="preserve">Commission </w:t>
            </w:r>
            <w:r w:rsidRPr="000E2DC1">
              <w:rPr>
                <w:rFonts w:cs="Arial"/>
                <w:b/>
                <w:sz w:val="20"/>
              </w:rPr>
              <w:t xml:space="preserve">recommande la réalisation et la diffusion de documents techniques sur l’utilisation de la méthadone dans son indication antalgique à destination des </w:t>
            </w:r>
            <w:r w:rsidR="007D55A8">
              <w:rPr>
                <w:rFonts w:cs="Arial"/>
                <w:b/>
                <w:sz w:val="20"/>
              </w:rPr>
              <w:t>professionnels de santé</w:t>
            </w:r>
            <w:r w:rsidRPr="000E2DC1">
              <w:rPr>
                <w:rFonts w:cs="Arial"/>
                <w:b/>
                <w:sz w:val="20"/>
              </w:rPr>
              <w:t xml:space="preserve">, notamment ceux qui n’exercent pas dans des centres spécialisés, et de documents d’information à destination des patients. </w:t>
            </w:r>
          </w:p>
        </w:tc>
      </w:tr>
    </w:tbl>
    <w:p w14:paraId="38F0B433" w14:textId="77777777" w:rsidR="00A45ADF" w:rsidRPr="00B90CEA" w:rsidRDefault="00A45ADF" w:rsidP="00D61B79">
      <w:pPr>
        <w:rPr>
          <w:rFonts w:cs="Arial"/>
          <w:sz w:val="18"/>
          <w:szCs w:val="18"/>
          <w:u w:val="single"/>
        </w:rPr>
      </w:pPr>
    </w:p>
    <w:p w14:paraId="053DCBBE" w14:textId="77777777" w:rsidR="00485DD1" w:rsidRPr="00B90CEA" w:rsidRDefault="00D61B79" w:rsidP="00EB0B9F">
      <w:pPr>
        <w:pStyle w:val="Titre1"/>
      </w:pPr>
      <w:r w:rsidRPr="009C68E1">
        <w:br w:type="page"/>
      </w:r>
      <w:r w:rsidR="007F5191">
        <w:t>Informations</w:t>
      </w:r>
      <w:r w:rsidR="00485DD1" w:rsidRPr="00B90CEA">
        <w:t xml:space="preserve"> administratives et réglementaires</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7505"/>
      </w:tblGrid>
      <w:tr w:rsidR="00485DD1" w:rsidRPr="003255C8" w14:paraId="480F3A78" w14:textId="77777777" w:rsidTr="00EA50C2">
        <w:trPr>
          <w:trHeight w:val="630"/>
          <w:jc w:val="center"/>
        </w:trPr>
        <w:tc>
          <w:tcPr>
            <w:tcW w:w="211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BDE8E1" w14:textId="77777777" w:rsidR="00485DD1" w:rsidRPr="003255C8" w:rsidRDefault="00485DD1" w:rsidP="00961790">
            <w:pPr>
              <w:jc w:val="left"/>
              <w:rPr>
                <w:rFonts w:cs="Arial"/>
                <w:color w:val="808080"/>
                <w:szCs w:val="22"/>
              </w:rPr>
            </w:pPr>
            <w:r w:rsidRPr="003255C8">
              <w:rPr>
                <w:rFonts w:cs="Arial"/>
                <w:color w:val="808080"/>
                <w:szCs w:val="22"/>
              </w:rPr>
              <w:t>AMM</w:t>
            </w:r>
          </w:p>
        </w:tc>
        <w:tc>
          <w:tcPr>
            <w:tcW w:w="75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9BC3B3" w14:textId="77777777" w:rsidR="006C7038" w:rsidRPr="000D7BE5" w:rsidRDefault="006C7038" w:rsidP="006C7038">
            <w:pPr>
              <w:rPr>
                <w:rFonts w:cs="Arial"/>
                <w:bCs/>
              </w:rPr>
            </w:pPr>
            <w:r>
              <w:rPr>
                <w:rFonts w:cs="Arial"/>
                <w:bCs/>
              </w:rPr>
              <w:t>27/12/</w:t>
            </w:r>
            <w:r w:rsidRPr="000D7BE5">
              <w:rPr>
                <w:rFonts w:cs="Arial"/>
                <w:bCs/>
              </w:rPr>
              <w:t xml:space="preserve">2018 (AMM nationale) </w:t>
            </w:r>
          </w:p>
          <w:p w14:paraId="5FBEF43E" w14:textId="77370645" w:rsidR="0077334E" w:rsidRPr="0077334E" w:rsidRDefault="0077334E" w:rsidP="0077334E">
            <w:pPr>
              <w:rPr>
                <w:rFonts w:cs="Arial"/>
                <w:szCs w:val="22"/>
              </w:rPr>
            </w:pPr>
            <w:r w:rsidRPr="0077334E">
              <w:rPr>
                <w:rFonts w:cs="Arial"/>
                <w:szCs w:val="22"/>
              </w:rPr>
              <w:t>Plan de gestion des risques</w:t>
            </w:r>
            <w:r>
              <w:rPr>
                <w:rFonts w:cs="Arial"/>
                <w:szCs w:val="22"/>
              </w:rPr>
              <w:t> :</w:t>
            </w:r>
            <w:r w:rsidRPr="0077334E">
              <w:rPr>
                <w:rFonts w:cs="Arial"/>
                <w:szCs w:val="22"/>
              </w:rPr>
              <w:t xml:space="preserve"> </w:t>
            </w:r>
          </w:p>
          <w:p w14:paraId="7B24A048" w14:textId="1B4E0717" w:rsidR="00FF0FF7" w:rsidRPr="00761781" w:rsidRDefault="0077334E" w:rsidP="00761781">
            <w:pPr>
              <w:pStyle w:val="Paragraphedeliste"/>
              <w:numPr>
                <w:ilvl w:val="0"/>
                <w:numId w:val="31"/>
              </w:numPr>
              <w:ind w:left="138" w:hanging="138"/>
              <w:rPr>
                <w:rFonts w:cs="Arial"/>
                <w:szCs w:val="22"/>
              </w:rPr>
            </w:pPr>
            <w:r w:rsidRPr="00761781">
              <w:rPr>
                <w:rFonts w:cs="Arial"/>
                <w:szCs w:val="22"/>
              </w:rPr>
              <w:t xml:space="preserve">Mise en place d’une étude </w:t>
            </w:r>
            <w:r w:rsidR="00FF0FF7" w:rsidRPr="00761781">
              <w:rPr>
                <w:rFonts w:cs="Arial"/>
                <w:szCs w:val="22"/>
              </w:rPr>
              <w:t xml:space="preserve">de cohorte </w:t>
            </w:r>
            <w:r w:rsidR="00761781" w:rsidRPr="00761781">
              <w:rPr>
                <w:rFonts w:cs="Arial"/>
                <w:szCs w:val="22"/>
              </w:rPr>
              <w:t>prospective évaluant les protocoles de titration utilisés lors de l’instauration d’un traitement par ZORYON, l'efficacité et la tolérance du traitement chez des patients ayant des douleurs d’origine cancéreuse d'intensité modérée à sévère, non soulagés de façon adéquate par d'autres opioïdes de palier III.</w:t>
            </w:r>
          </w:p>
          <w:p w14:paraId="1160C26B" w14:textId="0AF93965" w:rsidR="00FF0FF7" w:rsidRPr="0077334E" w:rsidRDefault="00FF0FF7" w:rsidP="0077334E">
            <w:pPr>
              <w:pStyle w:val="Paragraphedeliste"/>
              <w:numPr>
                <w:ilvl w:val="0"/>
                <w:numId w:val="31"/>
              </w:numPr>
              <w:ind w:left="138" w:hanging="142"/>
              <w:rPr>
                <w:rFonts w:cs="Arial"/>
                <w:szCs w:val="22"/>
              </w:rPr>
            </w:pPr>
            <w:r w:rsidRPr="0077334E">
              <w:rPr>
                <w:rFonts w:cs="Arial"/>
                <w:szCs w:val="22"/>
              </w:rPr>
              <w:t>Mesures additionnelles de réduction des risques portant sur les risques de surdosage, les torsades de pointe/allongements du QT, les intoxications accidentelles chez l’enfant et l’utilisation hors AMM</w:t>
            </w:r>
            <w:r w:rsidR="0077334E" w:rsidRPr="0077334E">
              <w:rPr>
                <w:rFonts w:cs="Arial"/>
                <w:szCs w:val="22"/>
              </w:rPr>
              <w:t xml:space="preserve"> (matériel pédagogique pour les professionnels de santé et pour les patients</w:t>
            </w:r>
            <w:r w:rsidR="0077334E">
              <w:rPr>
                <w:rFonts w:cs="Arial"/>
                <w:szCs w:val="22"/>
              </w:rPr>
              <w:t>).</w:t>
            </w:r>
          </w:p>
        </w:tc>
      </w:tr>
      <w:tr w:rsidR="008067F6" w:rsidRPr="003255C8" w14:paraId="039CA449" w14:textId="77777777" w:rsidTr="00EA50C2">
        <w:trPr>
          <w:trHeight w:val="630"/>
          <w:jc w:val="center"/>
        </w:trPr>
        <w:tc>
          <w:tcPr>
            <w:tcW w:w="211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42DEE5" w14:textId="77777777" w:rsidR="008067F6" w:rsidRPr="003255C8" w:rsidRDefault="008067F6" w:rsidP="008067F6">
            <w:pPr>
              <w:jc w:val="left"/>
              <w:rPr>
                <w:rFonts w:cs="Arial"/>
                <w:color w:val="808080"/>
                <w:szCs w:val="22"/>
              </w:rPr>
            </w:pPr>
            <w:r w:rsidRPr="003255C8">
              <w:rPr>
                <w:rFonts w:cs="Arial"/>
                <w:color w:val="808080"/>
                <w:szCs w:val="22"/>
              </w:rPr>
              <w:t>Conditions de prescription et de délivrance / statut particulier</w:t>
            </w:r>
          </w:p>
        </w:tc>
        <w:tc>
          <w:tcPr>
            <w:tcW w:w="75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6DADBE" w14:textId="1A77EDBE" w:rsidR="008067F6" w:rsidRPr="00B70BA7" w:rsidRDefault="008067F6" w:rsidP="00B025DB">
            <w:pPr>
              <w:rPr>
                <w:rFonts w:cs="Arial"/>
                <w:szCs w:val="22"/>
              </w:rPr>
            </w:pPr>
            <w:r w:rsidRPr="00B70BA7">
              <w:rPr>
                <w:rFonts w:cs="Arial"/>
                <w:szCs w:val="22"/>
              </w:rPr>
              <w:t xml:space="preserve">Médicament </w:t>
            </w:r>
            <w:r w:rsidR="00A132B4" w:rsidRPr="00B70BA7">
              <w:rPr>
                <w:rFonts w:cs="Arial"/>
                <w:szCs w:val="22"/>
              </w:rPr>
              <w:t xml:space="preserve">soumis </w:t>
            </w:r>
            <w:r w:rsidRPr="00B70BA7">
              <w:rPr>
                <w:rFonts w:cs="Arial"/>
                <w:szCs w:val="22"/>
              </w:rPr>
              <w:t>à prescription initiale hospitalière</w:t>
            </w:r>
            <w:r w:rsidR="00B70BA7">
              <w:rPr>
                <w:rFonts w:cs="Arial"/>
                <w:szCs w:val="22"/>
              </w:rPr>
              <w:t>.</w:t>
            </w:r>
          </w:p>
          <w:p w14:paraId="4DAF0E7D" w14:textId="55CB60E4" w:rsidR="008067F6" w:rsidRPr="00B70BA7" w:rsidRDefault="008067F6" w:rsidP="00B70BA7">
            <w:pPr>
              <w:spacing w:before="60"/>
              <w:rPr>
                <w:rFonts w:cs="Arial"/>
                <w:szCs w:val="22"/>
              </w:rPr>
            </w:pPr>
            <w:r w:rsidRPr="00B70BA7">
              <w:rPr>
                <w:rFonts w:cs="Arial"/>
                <w:szCs w:val="22"/>
              </w:rPr>
              <w:t>Médicament nécessitant une surveillance particulière pendant le traitement</w:t>
            </w:r>
            <w:r w:rsidR="00B70BA7">
              <w:rPr>
                <w:rFonts w:cs="Arial"/>
                <w:szCs w:val="22"/>
              </w:rPr>
              <w:t>.</w:t>
            </w:r>
          </w:p>
          <w:p w14:paraId="02D3407B" w14:textId="379F44AA" w:rsidR="008067F6" w:rsidRPr="002B1C4A" w:rsidRDefault="008067F6" w:rsidP="00B70BA7">
            <w:pPr>
              <w:spacing w:before="60"/>
              <w:rPr>
                <w:rFonts w:cs="Arial"/>
                <w:szCs w:val="22"/>
              </w:rPr>
            </w:pPr>
            <w:r w:rsidRPr="00B70BA7">
              <w:rPr>
                <w:rFonts w:cs="Arial"/>
                <w:szCs w:val="22"/>
              </w:rPr>
              <w:t>Stupéfiant</w:t>
            </w:r>
            <w:r w:rsidR="00B70BA7" w:rsidRPr="00B70BA7">
              <w:rPr>
                <w:rFonts w:cs="Arial"/>
                <w:szCs w:val="22"/>
              </w:rPr>
              <w:t>.</w:t>
            </w:r>
            <w:r w:rsidR="00B70BA7">
              <w:rPr>
                <w:rFonts w:cs="Arial"/>
                <w:b/>
                <w:szCs w:val="22"/>
              </w:rPr>
              <w:t xml:space="preserve"> </w:t>
            </w:r>
            <w:r w:rsidRPr="00317CC0">
              <w:rPr>
                <w:rFonts w:cs="Arial"/>
                <w:szCs w:val="22"/>
              </w:rPr>
              <w:t>Prescription sur ordonnances sécurisées</w:t>
            </w:r>
            <w:r w:rsidR="00B70BA7">
              <w:rPr>
                <w:rFonts w:cs="Arial"/>
                <w:szCs w:val="22"/>
              </w:rPr>
              <w:t xml:space="preserve">. </w:t>
            </w:r>
            <w:r w:rsidRPr="00317CC0">
              <w:rPr>
                <w:rFonts w:cs="Arial"/>
                <w:szCs w:val="22"/>
              </w:rPr>
              <w:t>Prescription limitée à 28 jours</w:t>
            </w:r>
            <w:r w:rsidR="00B70BA7">
              <w:rPr>
                <w:rFonts w:cs="Arial"/>
                <w:szCs w:val="22"/>
              </w:rPr>
              <w:t xml:space="preserve">. </w:t>
            </w:r>
            <w:r w:rsidRPr="00317CC0">
              <w:rPr>
                <w:rFonts w:cs="Arial"/>
                <w:szCs w:val="22"/>
              </w:rPr>
              <w:t xml:space="preserve">Délivrance fractionnée par périodes de 7 jours maximum. Le prescripteur peut néanmoins préciser sur l'ordonnance la durée de chaque fraction, ou exclure le fractionnement en portant sur l'ordonnance la mention </w:t>
            </w:r>
            <w:r>
              <w:rPr>
                <w:rFonts w:cs="Arial"/>
                <w:szCs w:val="22"/>
              </w:rPr>
              <w:t>« </w:t>
            </w:r>
            <w:r w:rsidRPr="00317CC0">
              <w:rPr>
                <w:rFonts w:cs="Arial"/>
                <w:szCs w:val="22"/>
              </w:rPr>
              <w:t>délivrance en une seule fois</w:t>
            </w:r>
            <w:r>
              <w:rPr>
                <w:rFonts w:cs="Arial"/>
                <w:szCs w:val="22"/>
              </w:rPr>
              <w:t> »</w:t>
            </w:r>
            <w:r w:rsidRPr="00317CC0">
              <w:rPr>
                <w:rFonts w:cs="Arial"/>
                <w:szCs w:val="22"/>
              </w:rPr>
              <w:t xml:space="preserve">, ou préciser que la dispensation doit se faire </w:t>
            </w:r>
            <w:r w:rsidRPr="002B1C4A">
              <w:rPr>
                <w:rFonts w:cs="Arial"/>
                <w:szCs w:val="22"/>
              </w:rPr>
              <w:t>quotidiennement</w:t>
            </w:r>
            <w:r w:rsidR="00B70BA7">
              <w:rPr>
                <w:rFonts w:cs="Arial"/>
                <w:szCs w:val="22"/>
              </w:rPr>
              <w:t>.</w:t>
            </w:r>
          </w:p>
          <w:p w14:paraId="7D5D6946" w14:textId="77777777" w:rsidR="00A132B4" w:rsidRPr="002B1C4A" w:rsidRDefault="008067F6" w:rsidP="00B70BA7">
            <w:pPr>
              <w:spacing w:before="60"/>
              <w:rPr>
                <w:rFonts w:cs="Arial"/>
                <w:color w:val="FF0000"/>
                <w:szCs w:val="22"/>
              </w:rPr>
            </w:pPr>
            <w:r w:rsidRPr="002B1C4A">
              <w:rPr>
                <w:rFonts w:cs="Arial"/>
                <w:szCs w:val="22"/>
              </w:rPr>
              <w:t>La délivrance est effectuée par une pharmacie de ville</w:t>
            </w:r>
            <w:r w:rsidR="0063293E">
              <w:rPr>
                <w:rFonts w:cs="Arial"/>
                <w:szCs w:val="22"/>
              </w:rPr>
              <w:t>.</w:t>
            </w:r>
          </w:p>
        </w:tc>
      </w:tr>
      <w:tr w:rsidR="008067F6" w:rsidRPr="003255C8" w14:paraId="4C37AE4B" w14:textId="77777777" w:rsidTr="00EA50C2">
        <w:trPr>
          <w:trHeight w:val="630"/>
          <w:jc w:val="center"/>
        </w:trPr>
        <w:tc>
          <w:tcPr>
            <w:tcW w:w="211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5746AF" w14:textId="77777777" w:rsidR="008067F6" w:rsidRPr="003255C8" w:rsidRDefault="008067F6" w:rsidP="003255C8">
            <w:pPr>
              <w:jc w:val="left"/>
              <w:rPr>
                <w:rFonts w:cs="Arial"/>
                <w:color w:val="808080"/>
                <w:szCs w:val="22"/>
              </w:rPr>
            </w:pPr>
            <w:r w:rsidRPr="003255C8">
              <w:rPr>
                <w:rFonts w:cs="Arial"/>
                <w:color w:val="808080"/>
                <w:szCs w:val="22"/>
              </w:rPr>
              <w:t>Classification ATC</w:t>
            </w:r>
          </w:p>
        </w:tc>
        <w:tc>
          <w:tcPr>
            <w:tcW w:w="75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3F69F6" w14:textId="77777777" w:rsidR="008067F6" w:rsidRPr="00FF0FF7" w:rsidRDefault="008067F6" w:rsidP="008067F6">
            <w:pPr>
              <w:rPr>
                <w:rFonts w:cs="Arial"/>
                <w:bCs/>
                <w:szCs w:val="22"/>
              </w:rPr>
            </w:pPr>
            <w:r w:rsidRPr="00FF0FF7">
              <w:rPr>
                <w:rFonts w:cs="Arial"/>
                <w:bCs/>
                <w:szCs w:val="22"/>
              </w:rPr>
              <w:t xml:space="preserve">N </w:t>
            </w:r>
            <w:r w:rsidRPr="00FF0FF7">
              <w:rPr>
                <w:rFonts w:cs="Arial"/>
                <w:bCs/>
                <w:szCs w:val="22"/>
              </w:rPr>
              <w:tab/>
            </w:r>
            <w:r w:rsidRPr="00FF0FF7">
              <w:rPr>
                <w:rFonts w:cs="Arial"/>
                <w:bCs/>
                <w:szCs w:val="22"/>
              </w:rPr>
              <w:tab/>
              <w:t xml:space="preserve">: Système nerveux </w:t>
            </w:r>
          </w:p>
          <w:p w14:paraId="71D0D9A8" w14:textId="77777777" w:rsidR="008067F6" w:rsidRPr="00FF0FF7" w:rsidRDefault="008067F6" w:rsidP="008067F6">
            <w:pPr>
              <w:rPr>
                <w:rFonts w:cs="Arial"/>
                <w:bCs/>
                <w:szCs w:val="22"/>
              </w:rPr>
            </w:pPr>
            <w:r w:rsidRPr="00FF0FF7">
              <w:rPr>
                <w:rFonts w:cs="Arial"/>
                <w:bCs/>
                <w:szCs w:val="22"/>
              </w:rPr>
              <w:t>N02</w:t>
            </w:r>
            <w:r w:rsidRPr="00FF0FF7">
              <w:rPr>
                <w:rFonts w:cs="Arial"/>
                <w:bCs/>
                <w:szCs w:val="22"/>
              </w:rPr>
              <w:tab/>
            </w:r>
            <w:r w:rsidRPr="00FF0FF7">
              <w:rPr>
                <w:rFonts w:cs="Arial"/>
                <w:bCs/>
                <w:szCs w:val="22"/>
              </w:rPr>
              <w:tab/>
              <w:t>: Analgésiques</w:t>
            </w:r>
          </w:p>
          <w:p w14:paraId="743AF352" w14:textId="77777777" w:rsidR="008067F6" w:rsidRPr="00FF0FF7" w:rsidRDefault="008067F6" w:rsidP="008067F6">
            <w:pPr>
              <w:rPr>
                <w:rFonts w:cs="Arial"/>
                <w:bCs/>
                <w:szCs w:val="22"/>
              </w:rPr>
            </w:pPr>
            <w:r w:rsidRPr="00FF0FF7">
              <w:rPr>
                <w:rFonts w:cs="Arial"/>
                <w:bCs/>
                <w:szCs w:val="22"/>
              </w:rPr>
              <w:t>N02A</w:t>
            </w:r>
            <w:r w:rsidRPr="00FF0FF7">
              <w:rPr>
                <w:rFonts w:cs="Arial"/>
                <w:bCs/>
                <w:szCs w:val="22"/>
              </w:rPr>
              <w:tab/>
              <w:t xml:space="preserve"> </w:t>
            </w:r>
            <w:r w:rsidRPr="00FF0FF7">
              <w:rPr>
                <w:rFonts w:cs="Arial"/>
                <w:bCs/>
                <w:szCs w:val="22"/>
              </w:rPr>
              <w:tab/>
              <w:t>: Opioïdes</w:t>
            </w:r>
          </w:p>
          <w:p w14:paraId="14958335" w14:textId="77777777" w:rsidR="008067F6" w:rsidRPr="00FF0FF7" w:rsidRDefault="008067F6" w:rsidP="008067F6">
            <w:pPr>
              <w:rPr>
                <w:rFonts w:cs="Arial"/>
                <w:bCs/>
                <w:szCs w:val="22"/>
              </w:rPr>
            </w:pPr>
            <w:r w:rsidRPr="00FF0FF7">
              <w:rPr>
                <w:rFonts w:cs="Arial"/>
                <w:bCs/>
                <w:szCs w:val="22"/>
              </w:rPr>
              <w:t>N02AC </w:t>
            </w:r>
            <w:r w:rsidRPr="00FF0FF7">
              <w:rPr>
                <w:rFonts w:cs="Arial"/>
                <w:bCs/>
                <w:szCs w:val="22"/>
              </w:rPr>
              <w:tab/>
              <w:t xml:space="preserve">: Dérivés de la diphénylpropylamine </w:t>
            </w:r>
          </w:p>
          <w:p w14:paraId="46D749D1" w14:textId="77777777" w:rsidR="008067F6" w:rsidRPr="008067F6" w:rsidRDefault="008067F6" w:rsidP="00FF0FF7">
            <w:pPr>
              <w:rPr>
                <w:rFonts w:cs="Arial"/>
                <w:bCs/>
                <w:szCs w:val="22"/>
              </w:rPr>
            </w:pPr>
            <w:r w:rsidRPr="00FF0FF7">
              <w:rPr>
                <w:rFonts w:cs="Arial"/>
                <w:bCs/>
                <w:szCs w:val="22"/>
              </w:rPr>
              <w:t>N02AC52</w:t>
            </w:r>
            <w:r w:rsidRPr="00FF0FF7">
              <w:rPr>
                <w:rFonts w:cs="Arial"/>
                <w:bCs/>
                <w:szCs w:val="22"/>
              </w:rPr>
              <w:tab/>
              <w:t xml:space="preserve">: Méthadone </w:t>
            </w:r>
            <w:r w:rsidRPr="00FF0FF7">
              <w:rPr>
                <w:rFonts w:cs="Arial"/>
                <w:bCs/>
                <w:szCs w:val="22"/>
              </w:rPr>
              <w:tab/>
            </w:r>
          </w:p>
        </w:tc>
      </w:tr>
    </w:tbl>
    <w:p w14:paraId="0F264525" w14:textId="77777777" w:rsidR="00485DD1" w:rsidRDefault="00485DD1" w:rsidP="00485DD1">
      <w:pPr>
        <w:rPr>
          <w:rFonts w:cs="Arial"/>
          <w:szCs w:val="22"/>
        </w:rPr>
      </w:pPr>
    </w:p>
    <w:p w14:paraId="4A37645F" w14:textId="77777777" w:rsidR="00C80447" w:rsidRPr="00485DD1" w:rsidRDefault="005E02B5" w:rsidP="00EB0B9F">
      <w:pPr>
        <w:pStyle w:val="Titre1"/>
      </w:pPr>
      <w:r w:rsidRPr="00485DD1">
        <w:t>Contexte</w:t>
      </w:r>
    </w:p>
    <w:p w14:paraId="4A1278BD" w14:textId="755691FE" w:rsidR="00FF0FF7" w:rsidRDefault="00FF0FF7" w:rsidP="00FF0FF7">
      <w:pPr>
        <w:rPr>
          <w:rFonts w:cs="Arial"/>
          <w:bCs/>
          <w:iCs/>
          <w:szCs w:val="22"/>
        </w:rPr>
      </w:pPr>
      <w:bookmarkStart w:id="11" w:name="_Hlk14779101"/>
      <w:r>
        <w:rPr>
          <w:rFonts w:cs="Arial"/>
          <w:bCs/>
          <w:iCs/>
          <w:szCs w:val="22"/>
        </w:rPr>
        <w:t xml:space="preserve">Il s’agit de la demande d’inscription des spécialités </w:t>
      </w:r>
      <w:r w:rsidRPr="008A11F2">
        <w:rPr>
          <w:rFonts w:cs="Arial"/>
          <w:bCs/>
          <w:iCs/>
          <w:color w:val="000000" w:themeColor="text1"/>
          <w:szCs w:val="22"/>
        </w:rPr>
        <w:t>ZORYON gélule et sirop</w:t>
      </w:r>
      <w:r w:rsidR="00E67B8D" w:rsidRPr="008A11F2">
        <w:rPr>
          <w:rFonts w:cs="Arial"/>
          <w:bCs/>
          <w:iCs/>
          <w:color w:val="000000" w:themeColor="text1"/>
          <w:szCs w:val="22"/>
        </w:rPr>
        <w:t>,</w:t>
      </w:r>
      <w:r w:rsidRPr="008A11F2">
        <w:rPr>
          <w:rFonts w:cs="Arial"/>
          <w:bCs/>
          <w:iCs/>
          <w:color w:val="000000" w:themeColor="text1"/>
          <w:szCs w:val="22"/>
        </w:rPr>
        <w:t xml:space="preserve"> à base de méthadone</w:t>
      </w:r>
      <w:r w:rsidR="00FD0660">
        <w:rPr>
          <w:rFonts w:cs="Arial"/>
          <w:bCs/>
          <w:iCs/>
          <w:color w:val="000000" w:themeColor="text1"/>
          <w:szCs w:val="22"/>
        </w:rPr>
        <w:t xml:space="preserve">, </w:t>
      </w:r>
      <w:r w:rsidRPr="0063293E">
        <w:rPr>
          <w:rFonts w:cs="Arial"/>
          <w:bCs/>
          <w:iCs/>
          <w:szCs w:val="22"/>
        </w:rPr>
        <w:t>sur la liste des médicaments remboursables aux assurés sociaux et sur la liste des médicaments agréés</w:t>
      </w:r>
      <w:r w:rsidRPr="00FF0FF7">
        <w:rPr>
          <w:rFonts w:cs="Arial"/>
          <w:bCs/>
          <w:iCs/>
          <w:szCs w:val="22"/>
        </w:rPr>
        <w:t xml:space="preserve"> à l’usage des collectivités et divers services publics. </w:t>
      </w:r>
    </w:p>
    <w:bookmarkEnd w:id="11"/>
    <w:p w14:paraId="41AEB789" w14:textId="77777777" w:rsidR="005A3CA8" w:rsidRDefault="005A3CA8" w:rsidP="00FF0FF7">
      <w:pPr>
        <w:rPr>
          <w:rFonts w:cs="Arial"/>
          <w:bCs/>
          <w:iCs/>
          <w:szCs w:val="22"/>
        </w:rPr>
      </w:pPr>
    </w:p>
    <w:p w14:paraId="44738CDE" w14:textId="4571029A" w:rsidR="006A0084" w:rsidRPr="006A0084" w:rsidRDefault="00C87A84" w:rsidP="00051D72">
      <w:pPr>
        <w:rPr>
          <w:rFonts w:ascii="Calibri" w:hAnsi="Calibri" w:cs="Calibri"/>
          <w:i/>
          <w:sz w:val="18"/>
          <w:szCs w:val="18"/>
        </w:rPr>
      </w:pPr>
      <w:r w:rsidRPr="006A0084">
        <w:rPr>
          <w:rFonts w:cs="Arial"/>
          <w:bCs/>
          <w:iCs/>
          <w:szCs w:val="22"/>
        </w:rPr>
        <w:t xml:space="preserve">La méthadone est un </w:t>
      </w:r>
      <w:r w:rsidR="00482BCA" w:rsidRPr="006A0084">
        <w:rPr>
          <w:rFonts w:cs="Arial"/>
          <w:bCs/>
          <w:iCs/>
          <w:szCs w:val="22"/>
        </w:rPr>
        <w:t xml:space="preserve">opioïde </w:t>
      </w:r>
      <w:r w:rsidR="00475F95" w:rsidRPr="006A0084">
        <w:rPr>
          <w:rFonts w:cs="Arial"/>
          <w:bCs/>
          <w:iCs/>
          <w:szCs w:val="22"/>
        </w:rPr>
        <w:t xml:space="preserve">fort </w:t>
      </w:r>
      <w:r w:rsidRPr="006A0084">
        <w:rPr>
          <w:rFonts w:cs="Arial"/>
          <w:bCs/>
          <w:iCs/>
          <w:szCs w:val="22"/>
        </w:rPr>
        <w:t xml:space="preserve">de synthèse </w:t>
      </w:r>
      <w:r w:rsidR="003033F6" w:rsidRPr="006A0084">
        <w:rPr>
          <w:rFonts w:cs="Arial"/>
          <w:bCs/>
          <w:iCs/>
          <w:szCs w:val="22"/>
        </w:rPr>
        <w:t xml:space="preserve">principalement </w:t>
      </w:r>
      <w:r w:rsidRPr="006A0084">
        <w:rPr>
          <w:rFonts w:cs="Arial"/>
          <w:bCs/>
          <w:iCs/>
          <w:szCs w:val="22"/>
        </w:rPr>
        <w:t xml:space="preserve">agoniste </w:t>
      </w:r>
      <w:r w:rsidR="00D34343" w:rsidRPr="006A0084">
        <w:rPr>
          <w:rFonts w:cs="Arial"/>
          <w:bCs/>
          <w:iCs/>
          <w:szCs w:val="22"/>
        </w:rPr>
        <w:t xml:space="preserve">des récepteurs </w:t>
      </w:r>
      <w:r w:rsidR="009A7301" w:rsidRPr="006A0084">
        <w:rPr>
          <w:rFonts w:cs="Arial"/>
          <w:bCs/>
          <w:iCs/>
          <w:szCs w:val="22"/>
        </w:rPr>
        <w:t>opio</w:t>
      </w:r>
      <w:r w:rsidR="00B2531A" w:rsidRPr="006A0084">
        <w:rPr>
          <w:rFonts w:cs="Arial"/>
          <w:bCs/>
          <w:iCs/>
          <w:szCs w:val="22"/>
        </w:rPr>
        <w:t>ï</w:t>
      </w:r>
      <w:r w:rsidR="009A7301" w:rsidRPr="006A0084">
        <w:rPr>
          <w:rFonts w:cs="Arial"/>
          <w:bCs/>
          <w:iCs/>
          <w:szCs w:val="22"/>
        </w:rPr>
        <w:t>des</w:t>
      </w:r>
      <w:r w:rsidR="00D34343" w:rsidRPr="006A0084">
        <w:rPr>
          <w:rFonts w:cs="Arial"/>
          <w:bCs/>
          <w:iCs/>
          <w:szCs w:val="22"/>
        </w:rPr>
        <w:t xml:space="preserve"> mu, </w:t>
      </w:r>
      <w:r w:rsidR="003033F6" w:rsidRPr="006A0084">
        <w:rPr>
          <w:rFonts w:cs="Arial"/>
          <w:bCs/>
          <w:iCs/>
          <w:szCs w:val="22"/>
        </w:rPr>
        <w:t xml:space="preserve">mais aussi des récepteurs </w:t>
      </w:r>
      <w:r w:rsidR="009A7301" w:rsidRPr="006A0084">
        <w:rPr>
          <w:rFonts w:cs="Arial"/>
          <w:bCs/>
          <w:iCs/>
          <w:szCs w:val="22"/>
        </w:rPr>
        <w:t xml:space="preserve">delta et kappa. </w:t>
      </w:r>
      <w:r w:rsidR="00AF2C2B">
        <w:rPr>
          <w:rFonts w:cs="Arial"/>
          <w:bCs/>
          <w:iCs/>
          <w:szCs w:val="22"/>
        </w:rPr>
        <w:t xml:space="preserve">Deux autres </w:t>
      </w:r>
      <w:r w:rsidR="009A7301" w:rsidRPr="006A0084">
        <w:rPr>
          <w:rFonts w:cs="Arial"/>
          <w:bCs/>
          <w:iCs/>
          <w:szCs w:val="22"/>
        </w:rPr>
        <w:t>activité</w:t>
      </w:r>
      <w:r w:rsidR="00AF2C2B">
        <w:rPr>
          <w:rFonts w:cs="Arial"/>
          <w:bCs/>
          <w:iCs/>
          <w:szCs w:val="22"/>
        </w:rPr>
        <w:t>s</w:t>
      </w:r>
      <w:r w:rsidR="00A1086B">
        <w:rPr>
          <w:rFonts w:cs="Arial"/>
          <w:bCs/>
          <w:iCs/>
          <w:szCs w:val="22"/>
        </w:rPr>
        <w:t xml:space="preserve">, </w:t>
      </w:r>
      <w:r w:rsidR="009A7301" w:rsidRPr="006A0084">
        <w:rPr>
          <w:rFonts w:cs="Arial"/>
          <w:bCs/>
          <w:iCs/>
          <w:szCs w:val="22"/>
        </w:rPr>
        <w:t>antagoniste</w:t>
      </w:r>
      <w:r w:rsidR="009C5547" w:rsidRPr="006A0084">
        <w:rPr>
          <w:rFonts w:cs="Arial"/>
          <w:bCs/>
          <w:iCs/>
          <w:szCs w:val="22"/>
        </w:rPr>
        <w:t xml:space="preserve"> </w:t>
      </w:r>
      <w:r w:rsidR="009A7301" w:rsidRPr="006A0084">
        <w:rPr>
          <w:rFonts w:cs="Arial"/>
          <w:bCs/>
          <w:iCs/>
          <w:szCs w:val="22"/>
        </w:rPr>
        <w:t xml:space="preserve">des récepteurs </w:t>
      </w:r>
      <w:r w:rsidR="00D34343" w:rsidRPr="006A0084">
        <w:rPr>
          <w:rFonts w:cs="Arial"/>
          <w:bCs/>
          <w:iCs/>
          <w:szCs w:val="22"/>
        </w:rPr>
        <w:t xml:space="preserve">N-méthyl-d-aspartate </w:t>
      </w:r>
      <w:r w:rsidR="002B1063" w:rsidRPr="006A0084">
        <w:rPr>
          <w:rFonts w:cs="Arial"/>
          <w:bCs/>
          <w:iCs/>
          <w:szCs w:val="22"/>
        </w:rPr>
        <w:t>(</w:t>
      </w:r>
      <w:r w:rsidR="00B2531A" w:rsidRPr="006A0084">
        <w:rPr>
          <w:rFonts w:cs="Arial"/>
          <w:bCs/>
          <w:iCs/>
          <w:szCs w:val="22"/>
        </w:rPr>
        <w:t xml:space="preserve">NMDA) </w:t>
      </w:r>
      <w:r w:rsidR="009A7301" w:rsidRPr="006A0084">
        <w:rPr>
          <w:rFonts w:cs="Arial"/>
          <w:bCs/>
          <w:iCs/>
          <w:szCs w:val="22"/>
        </w:rPr>
        <w:t>et</w:t>
      </w:r>
      <w:r w:rsidR="008C778D" w:rsidRPr="006A0084">
        <w:rPr>
          <w:rFonts w:cs="Arial"/>
          <w:bCs/>
          <w:iCs/>
          <w:szCs w:val="22"/>
        </w:rPr>
        <w:t xml:space="preserve"> </w:t>
      </w:r>
      <w:r w:rsidR="009A7301" w:rsidRPr="006A0084">
        <w:rPr>
          <w:rFonts w:cs="Arial"/>
          <w:bCs/>
          <w:iCs/>
          <w:szCs w:val="22"/>
        </w:rPr>
        <w:t>inhibitrice</w:t>
      </w:r>
      <w:r w:rsidR="00D34343" w:rsidRPr="006A0084">
        <w:rPr>
          <w:rFonts w:cs="Arial"/>
          <w:bCs/>
          <w:iCs/>
          <w:szCs w:val="22"/>
        </w:rPr>
        <w:t xml:space="preserve"> de</w:t>
      </w:r>
      <w:r w:rsidR="003033F6" w:rsidRPr="006A0084">
        <w:rPr>
          <w:rFonts w:cs="Arial"/>
          <w:bCs/>
          <w:iCs/>
          <w:szCs w:val="22"/>
        </w:rPr>
        <w:t xml:space="preserve"> la recapture de la </w:t>
      </w:r>
      <w:r w:rsidR="00E72B77" w:rsidRPr="006A0084">
        <w:rPr>
          <w:rFonts w:cs="Arial"/>
          <w:bCs/>
          <w:iCs/>
          <w:szCs w:val="22"/>
        </w:rPr>
        <w:t>sé</w:t>
      </w:r>
      <w:r w:rsidR="003033F6" w:rsidRPr="006A0084">
        <w:rPr>
          <w:rFonts w:cs="Arial"/>
          <w:bCs/>
          <w:iCs/>
          <w:szCs w:val="22"/>
        </w:rPr>
        <w:t>rotonine et de la noradrénaline</w:t>
      </w:r>
      <w:r w:rsidR="00E72B77" w:rsidRPr="006A0084">
        <w:rPr>
          <w:rFonts w:cs="Arial"/>
          <w:bCs/>
          <w:iCs/>
          <w:color w:val="000000" w:themeColor="text1"/>
          <w:szCs w:val="22"/>
        </w:rPr>
        <w:t xml:space="preserve"> </w:t>
      </w:r>
      <w:r w:rsidR="00AF2C2B">
        <w:rPr>
          <w:rFonts w:cs="Arial"/>
          <w:bCs/>
          <w:iCs/>
          <w:color w:val="000000" w:themeColor="text1"/>
          <w:szCs w:val="22"/>
        </w:rPr>
        <w:t>ont</w:t>
      </w:r>
      <w:r w:rsidR="006A0084">
        <w:rPr>
          <w:rFonts w:cs="Arial"/>
          <w:bCs/>
          <w:iCs/>
          <w:color w:val="000000" w:themeColor="text1"/>
          <w:szCs w:val="22"/>
        </w:rPr>
        <w:t xml:space="preserve"> été mis</w:t>
      </w:r>
      <w:r w:rsidR="00A1086B">
        <w:rPr>
          <w:rFonts w:cs="Arial"/>
          <w:bCs/>
          <w:iCs/>
          <w:color w:val="000000" w:themeColor="text1"/>
          <w:szCs w:val="22"/>
        </w:rPr>
        <w:t>es</w:t>
      </w:r>
      <w:r w:rsidR="006A0084">
        <w:rPr>
          <w:rFonts w:cs="Arial"/>
          <w:bCs/>
          <w:iCs/>
          <w:color w:val="000000" w:themeColor="text1"/>
          <w:szCs w:val="22"/>
        </w:rPr>
        <w:t xml:space="preserve"> en évidence.</w:t>
      </w:r>
      <w:r w:rsidR="00D34343" w:rsidRPr="006A0084">
        <w:rPr>
          <w:rFonts w:cs="Arial"/>
          <w:bCs/>
          <w:iCs/>
          <w:szCs w:val="22"/>
        </w:rPr>
        <w:t xml:space="preserve"> </w:t>
      </w:r>
      <w:r w:rsidR="006A0084" w:rsidRPr="006A0084">
        <w:rPr>
          <w:szCs w:val="22"/>
        </w:rPr>
        <w:t>L</w:t>
      </w:r>
      <w:r w:rsidR="006A0084" w:rsidRPr="006A0084">
        <w:rPr>
          <w:rFonts w:cs="Arial"/>
          <w:bCs/>
          <w:szCs w:val="22"/>
        </w:rPr>
        <w:t>a pharmacocinétique du produit fait l’objet d’une grande variabilité intra- et interindividuelle.</w:t>
      </w:r>
      <w:r w:rsidR="006A0084" w:rsidRPr="006A0084">
        <w:rPr>
          <w:szCs w:val="22"/>
        </w:rPr>
        <w:t xml:space="preserve"> </w:t>
      </w:r>
      <w:r w:rsidR="006A0084">
        <w:t xml:space="preserve">L’antalgie induite par la méthadone est similaire </w:t>
      </w:r>
      <w:r w:rsidR="006A0084" w:rsidRPr="006A0084">
        <w:rPr>
          <w:szCs w:val="22"/>
        </w:rPr>
        <w:t>à celle de la morphine.</w:t>
      </w:r>
    </w:p>
    <w:p w14:paraId="6660B05C" w14:textId="77777777" w:rsidR="009F0BBB" w:rsidRPr="00EA50C2" w:rsidRDefault="009F0BBB" w:rsidP="00EA50C2"/>
    <w:p w14:paraId="744F1080" w14:textId="04AEDCB9" w:rsidR="00C70530" w:rsidRDefault="00F966EA" w:rsidP="00C073C9">
      <w:pPr>
        <w:pStyle w:val="PrformatHTML"/>
        <w:jc w:val="both"/>
        <w:rPr>
          <w:rFonts w:ascii="Arial" w:hAnsi="Arial" w:cs="Arial"/>
          <w:bCs/>
          <w:iCs/>
          <w:sz w:val="22"/>
          <w:szCs w:val="22"/>
        </w:rPr>
      </w:pPr>
      <w:r w:rsidRPr="00F966EA">
        <w:rPr>
          <w:rFonts w:ascii="Arial" w:hAnsi="Arial" w:cs="Arial"/>
          <w:color w:val="000000" w:themeColor="text1"/>
          <w:sz w:val="22"/>
          <w:szCs w:val="22"/>
        </w:rPr>
        <w:t>L’</w:t>
      </w:r>
      <w:r w:rsidR="009F0BBB" w:rsidRPr="00F966EA">
        <w:rPr>
          <w:rFonts w:ascii="Arial" w:hAnsi="Arial" w:cs="Arial"/>
          <w:color w:val="000000" w:themeColor="text1"/>
          <w:sz w:val="22"/>
          <w:szCs w:val="22"/>
        </w:rPr>
        <w:t>Assistance Pu</w:t>
      </w:r>
      <w:r w:rsidRPr="00F966EA">
        <w:rPr>
          <w:rFonts w:ascii="Arial" w:hAnsi="Arial" w:cs="Arial"/>
          <w:color w:val="000000" w:themeColor="text1"/>
          <w:sz w:val="22"/>
          <w:szCs w:val="22"/>
        </w:rPr>
        <w:t>blique-Hôpitaux de Paris</w:t>
      </w:r>
      <w:r w:rsidR="009F0BBB" w:rsidRPr="00F966EA">
        <w:rPr>
          <w:rFonts w:ascii="Arial" w:hAnsi="Arial" w:cs="Arial"/>
          <w:color w:val="000000" w:themeColor="text1"/>
          <w:sz w:val="22"/>
          <w:szCs w:val="22"/>
        </w:rPr>
        <w:t xml:space="preserve"> est </w:t>
      </w:r>
      <w:r w:rsidR="006E4706">
        <w:rPr>
          <w:rFonts w:ascii="Arial" w:hAnsi="Arial" w:cs="Arial"/>
          <w:color w:val="000000" w:themeColor="text1"/>
          <w:sz w:val="22"/>
          <w:szCs w:val="22"/>
        </w:rPr>
        <w:t xml:space="preserve">le </w:t>
      </w:r>
      <w:r w:rsidR="009F0BBB" w:rsidRPr="00F966EA">
        <w:rPr>
          <w:rFonts w:ascii="Arial" w:hAnsi="Arial" w:cs="Arial"/>
          <w:color w:val="000000" w:themeColor="text1"/>
          <w:sz w:val="22"/>
          <w:szCs w:val="22"/>
        </w:rPr>
        <w:t xml:space="preserve">titulaire </w:t>
      </w:r>
      <w:r w:rsidR="00651262" w:rsidRPr="00F966EA">
        <w:rPr>
          <w:rFonts w:ascii="Arial" w:hAnsi="Arial" w:cs="Arial"/>
          <w:color w:val="000000" w:themeColor="text1"/>
          <w:sz w:val="22"/>
          <w:szCs w:val="22"/>
        </w:rPr>
        <w:t xml:space="preserve">de l’AMM </w:t>
      </w:r>
      <w:r w:rsidR="004C0CEF">
        <w:rPr>
          <w:rFonts w:ascii="Arial" w:hAnsi="Arial" w:cs="Arial"/>
          <w:color w:val="000000" w:themeColor="text1"/>
          <w:sz w:val="22"/>
          <w:szCs w:val="22"/>
        </w:rPr>
        <w:t xml:space="preserve">des spécialités ZORYON ainsi que </w:t>
      </w:r>
      <w:r w:rsidR="00651262" w:rsidRPr="00F966EA">
        <w:rPr>
          <w:rFonts w:ascii="Arial" w:hAnsi="Arial" w:cs="Arial"/>
          <w:color w:val="000000" w:themeColor="text1"/>
          <w:sz w:val="22"/>
          <w:szCs w:val="22"/>
        </w:rPr>
        <w:t>de</w:t>
      </w:r>
      <w:r w:rsidR="004C0CEF">
        <w:rPr>
          <w:rFonts w:ascii="Arial" w:hAnsi="Arial" w:cs="Arial"/>
          <w:color w:val="000000" w:themeColor="text1"/>
          <w:sz w:val="22"/>
          <w:szCs w:val="22"/>
        </w:rPr>
        <w:t>s spécialités</w:t>
      </w:r>
      <w:r w:rsidR="009F0BBB" w:rsidRPr="00F966EA">
        <w:rPr>
          <w:rFonts w:ascii="Arial" w:hAnsi="Arial" w:cs="Arial"/>
          <w:color w:val="000000" w:themeColor="text1"/>
          <w:sz w:val="22"/>
          <w:szCs w:val="22"/>
        </w:rPr>
        <w:t xml:space="preserve"> METHADONE AP-HP</w:t>
      </w:r>
      <w:r w:rsidR="00424649" w:rsidRPr="00F966EA">
        <w:rPr>
          <w:rFonts w:ascii="Arial" w:hAnsi="Arial" w:cs="Arial"/>
          <w:color w:val="000000" w:themeColor="text1"/>
          <w:sz w:val="22"/>
          <w:szCs w:val="22"/>
        </w:rPr>
        <w:t>, sirop</w:t>
      </w:r>
      <w:r w:rsidR="00CA5389">
        <w:rPr>
          <w:rFonts w:ascii="Arial" w:hAnsi="Arial" w:cs="Arial"/>
          <w:color w:val="000000" w:themeColor="text1"/>
          <w:sz w:val="22"/>
          <w:szCs w:val="22"/>
        </w:rPr>
        <w:t>s</w:t>
      </w:r>
      <w:r w:rsidR="00424649" w:rsidRPr="00F966EA">
        <w:rPr>
          <w:rFonts w:ascii="Arial" w:hAnsi="Arial" w:cs="Arial"/>
          <w:color w:val="000000" w:themeColor="text1"/>
          <w:sz w:val="22"/>
          <w:szCs w:val="22"/>
        </w:rPr>
        <w:t xml:space="preserve"> et </w:t>
      </w:r>
      <w:r w:rsidR="00ED7593">
        <w:rPr>
          <w:rFonts w:ascii="Arial" w:hAnsi="Arial" w:cs="Arial"/>
          <w:color w:val="000000" w:themeColor="text1"/>
          <w:sz w:val="22"/>
          <w:szCs w:val="22"/>
        </w:rPr>
        <w:t>gélule</w:t>
      </w:r>
      <w:r w:rsidR="00CA5389">
        <w:rPr>
          <w:rFonts w:ascii="Arial" w:hAnsi="Arial" w:cs="Arial"/>
          <w:color w:val="000000" w:themeColor="text1"/>
          <w:sz w:val="22"/>
          <w:szCs w:val="22"/>
        </w:rPr>
        <w:t>s</w:t>
      </w:r>
      <w:r w:rsidR="00A1086B">
        <w:rPr>
          <w:rFonts w:ascii="Arial" w:hAnsi="Arial" w:cs="Arial"/>
          <w:color w:val="000000" w:themeColor="text1"/>
          <w:sz w:val="22"/>
          <w:szCs w:val="22"/>
        </w:rPr>
        <w:t>,</w:t>
      </w:r>
      <w:r w:rsidR="00424649" w:rsidRPr="00F966EA">
        <w:rPr>
          <w:rFonts w:ascii="Arial" w:hAnsi="Arial" w:cs="Arial"/>
          <w:color w:val="000000" w:themeColor="text1"/>
          <w:sz w:val="22"/>
          <w:szCs w:val="22"/>
        </w:rPr>
        <w:t xml:space="preserve"> </w:t>
      </w:r>
      <w:r w:rsidR="009F0BBB" w:rsidRPr="00F966EA">
        <w:rPr>
          <w:rFonts w:ascii="Arial" w:hAnsi="Arial" w:cs="Arial"/>
          <w:color w:val="000000" w:themeColor="text1"/>
          <w:sz w:val="22"/>
          <w:szCs w:val="22"/>
        </w:rPr>
        <w:t xml:space="preserve">indiquées dans le traitement de substitution </w:t>
      </w:r>
      <w:r w:rsidR="006C1838" w:rsidRPr="00F966EA">
        <w:rPr>
          <w:rFonts w:ascii="Arial" w:hAnsi="Arial" w:cs="Arial"/>
          <w:bCs/>
          <w:iCs/>
          <w:sz w:val="22"/>
          <w:szCs w:val="22"/>
        </w:rPr>
        <w:t xml:space="preserve">des </w:t>
      </w:r>
      <w:r w:rsidR="006C1838" w:rsidRPr="00C073C9">
        <w:rPr>
          <w:rFonts w:ascii="Arial" w:hAnsi="Arial" w:cs="Arial"/>
          <w:bCs/>
          <w:iCs/>
          <w:sz w:val="22"/>
          <w:szCs w:val="22"/>
        </w:rPr>
        <w:t>pharmacodépendances majeures aux opiacés</w:t>
      </w:r>
      <w:r w:rsidR="006E4706">
        <w:rPr>
          <w:rFonts w:ascii="Arial" w:hAnsi="Arial" w:cs="Arial"/>
          <w:bCs/>
          <w:iCs/>
          <w:sz w:val="22"/>
          <w:szCs w:val="22"/>
        </w:rPr>
        <w:t>.</w:t>
      </w:r>
      <w:r w:rsidR="00ED7593" w:rsidRPr="00C073C9">
        <w:rPr>
          <w:rFonts w:ascii="Arial" w:hAnsi="Arial" w:cs="Arial"/>
          <w:bCs/>
          <w:iCs/>
          <w:sz w:val="22"/>
          <w:szCs w:val="22"/>
        </w:rPr>
        <w:t xml:space="preserve"> </w:t>
      </w:r>
    </w:p>
    <w:p w14:paraId="6E47F26F" w14:textId="77777777" w:rsidR="006E4706" w:rsidRDefault="006E4706" w:rsidP="00C073C9">
      <w:pPr>
        <w:pStyle w:val="PrformatHTML"/>
        <w:jc w:val="both"/>
        <w:rPr>
          <w:rFonts w:ascii="Arial" w:hAnsi="Arial" w:cs="Arial"/>
          <w:color w:val="000000" w:themeColor="text1"/>
          <w:sz w:val="22"/>
          <w:szCs w:val="22"/>
        </w:rPr>
      </w:pPr>
    </w:p>
    <w:p w14:paraId="7F065E05" w14:textId="49565DA8" w:rsidR="00E6513B" w:rsidRPr="00C073C9" w:rsidRDefault="0046103E" w:rsidP="00C073C9">
      <w:pPr>
        <w:pStyle w:val="PrformatHTML"/>
        <w:jc w:val="both"/>
        <w:rPr>
          <w:rFonts w:ascii="Arial" w:hAnsi="Arial" w:cs="Arial"/>
          <w:color w:val="000000" w:themeColor="text1"/>
          <w:sz w:val="22"/>
          <w:szCs w:val="22"/>
        </w:rPr>
      </w:pPr>
      <w:r w:rsidRPr="00C073C9">
        <w:rPr>
          <w:rFonts w:ascii="Arial" w:hAnsi="Arial" w:cs="Arial"/>
          <w:color w:val="000000" w:themeColor="text1"/>
          <w:sz w:val="22"/>
          <w:szCs w:val="22"/>
        </w:rPr>
        <w:t>U</w:t>
      </w:r>
      <w:r w:rsidR="008851E0" w:rsidRPr="00C073C9">
        <w:rPr>
          <w:rFonts w:ascii="Arial" w:hAnsi="Arial" w:cs="Arial"/>
          <w:color w:val="000000" w:themeColor="text1"/>
          <w:sz w:val="22"/>
          <w:szCs w:val="22"/>
        </w:rPr>
        <w:t xml:space="preserve">tilisée en Europe pour </w:t>
      </w:r>
      <w:r w:rsidR="008851E0" w:rsidRPr="00C073C9">
        <w:rPr>
          <w:rFonts w:ascii="Arial" w:hAnsi="Arial" w:cs="Arial"/>
          <w:sz w:val="22"/>
          <w:szCs w:val="22"/>
        </w:rPr>
        <w:t>le traitement de</w:t>
      </w:r>
      <w:r w:rsidR="00E6513B" w:rsidRPr="00C073C9">
        <w:rPr>
          <w:rFonts w:ascii="Arial" w:hAnsi="Arial" w:cs="Arial"/>
          <w:sz w:val="22"/>
          <w:szCs w:val="22"/>
        </w:rPr>
        <w:t>s douleurs sévères</w:t>
      </w:r>
      <w:r w:rsidR="008851E0" w:rsidRPr="00C073C9">
        <w:rPr>
          <w:rFonts w:ascii="Arial" w:hAnsi="Arial" w:cs="Arial"/>
          <w:sz w:val="22"/>
          <w:szCs w:val="22"/>
        </w:rPr>
        <w:t xml:space="preserve"> dès les années 60</w:t>
      </w:r>
      <w:r w:rsidR="00C073C9">
        <w:rPr>
          <w:rFonts w:ascii="Arial" w:hAnsi="Arial" w:cs="Arial"/>
          <w:sz w:val="22"/>
          <w:szCs w:val="22"/>
        </w:rPr>
        <w:t xml:space="preserve">, </w:t>
      </w:r>
      <w:r w:rsidRPr="00C073C9">
        <w:rPr>
          <w:rFonts w:ascii="Arial" w:hAnsi="Arial" w:cs="Arial"/>
          <w:sz w:val="22"/>
          <w:szCs w:val="22"/>
        </w:rPr>
        <w:t xml:space="preserve">la méthadone a été officiellement </w:t>
      </w:r>
      <w:r w:rsidR="00E6513B" w:rsidRPr="00C073C9">
        <w:rPr>
          <w:rFonts w:ascii="Arial" w:hAnsi="Arial" w:cs="Arial"/>
          <w:sz w:val="22"/>
          <w:szCs w:val="22"/>
        </w:rPr>
        <w:t xml:space="preserve">approuvée </w:t>
      </w:r>
      <w:r w:rsidR="005C2D57" w:rsidRPr="00C073C9">
        <w:rPr>
          <w:rFonts w:ascii="Arial" w:hAnsi="Arial" w:cs="Arial"/>
          <w:sz w:val="22"/>
          <w:szCs w:val="22"/>
        </w:rPr>
        <w:t>dans</w:t>
      </w:r>
      <w:r w:rsidRPr="00C073C9">
        <w:rPr>
          <w:rFonts w:ascii="Arial" w:hAnsi="Arial" w:cs="Arial"/>
          <w:sz w:val="22"/>
          <w:szCs w:val="22"/>
        </w:rPr>
        <w:t xml:space="preserve"> cette </w:t>
      </w:r>
      <w:r w:rsidRPr="00C073C9">
        <w:rPr>
          <w:rFonts w:ascii="Arial" w:hAnsi="Arial" w:cs="Arial"/>
          <w:color w:val="000000" w:themeColor="text1"/>
          <w:sz w:val="22"/>
          <w:szCs w:val="22"/>
        </w:rPr>
        <w:t xml:space="preserve">indication thérapeutique </w:t>
      </w:r>
      <w:r w:rsidR="00E6513B" w:rsidRPr="00C073C9">
        <w:rPr>
          <w:rFonts w:ascii="Arial" w:hAnsi="Arial" w:cs="Arial"/>
          <w:color w:val="000000" w:themeColor="text1"/>
          <w:sz w:val="22"/>
          <w:szCs w:val="22"/>
        </w:rPr>
        <w:t>dans plusieurs pays</w:t>
      </w:r>
      <w:r w:rsidR="00DC49DA">
        <w:rPr>
          <w:rFonts w:ascii="Arial" w:hAnsi="Arial" w:cs="Arial"/>
          <w:color w:val="000000" w:themeColor="text1"/>
          <w:sz w:val="22"/>
          <w:szCs w:val="22"/>
        </w:rPr>
        <w:t>,</w:t>
      </w:r>
      <w:r w:rsidR="00E6513B" w:rsidRPr="00C073C9">
        <w:rPr>
          <w:rFonts w:ascii="Arial" w:hAnsi="Arial" w:cs="Arial"/>
          <w:color w:val="000000" w:themeColor="text1"/>
          <w:sz w:val="22"/>
          <w:szCs w:val="22"/>
        </w:rPr>
        <w:t xml:space="preserve"> </w:t>
      </w:r>
      <w:r w:rsidR="00501329" w:rsidRPr="00C073C9">
        <w:rPr>
          <w:rFonts w:ascii="Arial" w:hAnsi="Arial" w:cs="Arial"/>
          <w:color w:val="000000" w:themeColor="text1"/>
          <w:sz w:val="22"/>
          <w:szCs w:val="22"/>
        </w:rPr>
        <w:t>depuis plus de 15 ans dans certains cas (I</w:t>
      </w:r>
      <w:r w:rsidR="00E6513B" w:rsidRPr="00C073C9">
        <w:rPr>
          <w:rFonts w:ascii="Arial" w:hAnsi="Arial" w:cs="Arial"/>
          <w:color w:val="000000" w:themeColor="text1"/>
          <w:sz w:val="22"/>
          <w:szCs w:val="22"/>
        </w:rPr>
        <w:t>rlande,</w:t>
      </w:r>
      <w:r w:rsidR="00501329" w:rsidRPr="00C073C9">
        <w:rPr>
          <w:rFonts w:ascii="Arial" w:hAnsi="Arial" w:cs="Arial"/>
          <w:color w:val="000000" w:themeColor="text1"/>
          <w:sz w:val="22"/>
          <w:szCs w:val="22"/>
        </w:rPr>
        <w:t xml:space="preserve"> Espagne)</w:t>
      </w:r>
      <w:r w:rsidR="00D126CE">
        <w:rPr>
          <w:rFonts w:ascii="Arial" w:hAnsi="Arial" w:cs="Arial"/>
          <w:color w:val="000000" w:themeColor="text1"/>
          <w:sz w:val="22"/>
          <w:szCs w:val="22"/>
        </w:rPr>
        <w:t xml:space="preserve">. Le </w:t>
      </w:r>
      <w:r w:rsidR="00501329" w:rsidRPr="00C073C9">
        <w:rPr>
          <w:rFonts w:ascii="Arial" w:hAnsi="Arial" w:cs="Arial"/>
          <w:color w:val="000000" w:themeColor="text1"/>
          <w:sz w:val="22"/>
          <w:szCs w:val="22"/>
        </w:rPr>
        <w:t>dépôt d’une demande d’autorisation de mise sur le marché reposa</w:t>
      </w:r>
      <w:r w:rsidR="00D126CE">
        <w:rPr>
          <w:rFonts w:ascii="Arial" w:hAnsi="Arial" w:cs="Arial"/>
          <w:color w:val="000000" w:themeColor="text1"/>
          <w:sz w:val="22"/>
          <w:szCs w:val="22"/>
        </w:rPr>
        <w:t>i</w:t>
      </w:r>
      <w:r w:rsidR="00501329" w:rsidRPr="00C073C9">
        <w:rPr>
          <w:rFonts w:ascii="Arial" w:hAnsi="Arial" w:cs="Arial"/>
          <w:color w:val="000000" w:themeColor="text1"/>
          <w:sz w:val="22"/>
          <w:szCs w:val="22"/>
        </w:rPr>
        <w:t>t sur l’existence d’un usage bien établi dans l’indication demandée.</w:t>
      </w:r>
    </w:p>
    <w:p w14:paraId="3251F036" w14:textId="77777777" w:rsidR="00E6513B" w:rsidRDefault="00E6513B" w:rsidP="008851E0">
      <w:pPr>
        <w:rPr>
          <w:rFonts w:cs="Arial"/>
          <w:color w:val="000000" w:themeColor="text1"/>
          <w:sz w:val="18"/>
          <w:szCs w:val="18"/>
        </w:rPr>
      </w:pPr>
    </w:p>
    <w:p w14:paraId="0C1373DA" w14:textId="783785A2" w:rsidR="00E24F1D" w:rsidRDefault="004F6B5D" w:rsidP="00F966EA">
      <w:pPr>
        <w:rPr>
          <w:rFonts w:cs="Arial"/>
          <w:bCs/>
          <w:iCs/>
          <w:szCs w:val="22"/>
        </w:rPr>
      </w:pPr>
      <w:r>
        <w:rPr>
          <w:rFonts w:cs="Arial"/>
          <w:bCs/>
          <w:iCs/>
          <w:szCs w:val="22"/>
        </w:rPr>
        <w:t>En France, c</w:t>
      </w:r>
      <w:r w:rsidR="00C073C9">
        <w:rPr>
          <w:rFonts w:cs="Arial"/>
          <w:bCs/>
          <w:iCs/>
          <w:szCs w:val="22"/>
        </w:rPr>
        <w:t xml:space="preserve">et </w:t>
      </w:r>
      <w:r w:rsidR="00B2531A">
        <w:rPr>
          <w:rFonts w:cs="Arial"/>
          <w:bCs/>
          <w:iCs/>
          <w:szCs w:val="22"/>
        </w:rPr>
        <w:t xml:space="preserve">analgésique </w:t>
      </w:r>
      <w:r w:rsidR="00C073C9">
        <w:rPr>
          <w:rFonts w:cs="Arial"/>
          <w:bCs/>
          <w:iCs/>
          <w:szCs w:val="22"/>
        </w:rPr>
        <w:t>opioïde</w:t>
      </w:r>
      <w:r w:rsidR="00C70530">
        <w:rPr>
          <w:rFonts w:cs="Arial"/>
          <w:bCs/>
          <w:iCs/>
          <w:szCs w:val="22"/>
        </w:rPr>
        <w:t xml:space="preserve"> </w:t>
      </w:r>
      <w:r w:rsidR="007C7521">
        <w:rPr>
          <w:rFonts w:cs="Arial"/>
          <w:bCs/>
          <w:iCs/>
          <w:szCs w:val="22"/>
        </w:rPr>
        <w:t>est</w:t>
      </w:r>
      <w:r w:rsidR="005C2D57">
        <w:rPr>
          <w:rFonts w:cs="Arial"/>
          <w:bCs/>
          <w:iCs/>
          <w:szCs w:val="22"/>
        </w:rPr>
        <w:t xml:space="preserve"> </w:t>
      </w:r>
      <w:r w:rsidR="005C2D57" w:rsidRPr="007C7521">
        <w:rPr>
          <w:rFonts w:cs="Arial"/>
          <w:bCs/>
          <w:iCs/>
          <w:szCs w:val="22"/>
        </w:rPr>
        <w:t>cité</w:t>
      </w:r>
      <w:r w:rsidR="00143C8C">
        <w:rPr>
          <w:rFonts w:cs="Arial"/>
          <w:bCs/>
          <w:iCs/>
          <w:szCs w:val="22"/>
        </w:rPr>
        <w:t>,</w:t>
      </w:r>
      <w:r w:rsidR="009414CC" w:rsidRPr="007C7521">
        <w:rPr>
          <w:rFonts w:cs="Arial"/>
          <w:bCs/>
          <w:iCs/>
          <w:szCs w:val="22"/>
        </w:rPr>
        <w:t xml:space="preserve"> </w:t>
      </w:r>
      <w:r w:rsidR="00B3561F" w:rsidRPr="005C2D57">
        <w:rPr>
          <w:rFonts w:cs="Arial"/>
          <w:bCs/>
          <w:iCs/>
          <w:szCs w:val="22"/>
        </w:rPr>
        <w:t>depuis de nombreuses années</w:t>
      </w:r>
      <w:r w:rsidR="00143C8C">
        <w:rPr>
          <w:rFonts w:cs="Arial"/>
          <w:bCs/>
          <w:iCs/>
          <w:szCs w:val="22"/>
        </w:rPr>
        <w:t>,</w:t>
      </w:r>
      <w:r w:rsidR="007C7521" w:rsidRPr="007C7521">
        <w:rPr>
          <w:rFonts w:cs="Arial"/>
          <w:bCs/>
          <w:iCs/>
          <w:szCs w:val="22"/>
        </w:rPr>
        <w:t xml:space="preserve"> </w:t>
      </w:r>
      <w:r w:rsidR="005C2D57" w:rsidRPr="007C7521">
        <w:rPr>
          <w:rFonts w:cs="Arial"/>
          <w:bCs/>
          <w:iCs/>
          <w:szCs w:val="22"/>
        </w:rPr>
        <w:t xml:space="preserve">dans </w:t>
      </w:r>
      <w:r w:rsidR="005C2D57">
        <w:rPr>
          <w:rFonts w:cs="Arial"/>
          <w:bCs/>
          <w:iCs/>
          <w:szCs w:val="22"/>
        </w:rPr>
        <w:t>diverses</w:t>
      </w:r>
      <w:r w:rsidR="005C2D57" w:rsidRPr="00D3308C">
        <w:rPr>
          <w:rFonts w:cs="Arial"/>
          <w:bCs/>
          <w:iCs/>
          <w:szCs w:val="22"/>
        </w:rPr>
        <w:t xml:space="preserve"> recommandations</w:t>
      </w:r>
      <w:bookmarkStart w:id="12" w:name="_Ref11163357"/>
      <w:r w:rsidR="007C7521">
        <w:rPr>
          <w:rFonts w:cs="Arial"/>
          <w:bCs/>
          <w:iCs/>
          <w:szCs w:val="22"/>
        </w:rPr>
        <w:t xml:space="preserve"> en matière de traitement des douleurs d’origine cancéreuse</w:t>
      </w:r>
      <w:r w:rsidR="005C2D57" w:rsidRPr="00C70530">
        <w:rPr>
          <w:rStyle w:val="Appelnotedebasdep"/>
          <w:rFonts w:cs="Arial"/>
          <w:bCs/>
          <w:iCs/>
          <w:szCs w:val="22"/>
        </w:rPr>
        <w:footnoteReference w:id="2"/>
      </w:r>
      <w:bookmarkEnd w:id="12"/>
      <w:r w:rsidR="00C70530" w:rsidRPr="00C70530">
        <w:rPr>
          <w:rFonts w:cs="Arial"/>
          <w:bCs/>
          <w:iCs/>
          <w:szCs w:val="22"/>
          <w:vertAlign w:val="superscript"/>
        </w:rPr>
        <w:t>,</w:t>
      </w:r>
      <w:r w:rsidR="00C70530" w:rsidRPr="00C70530">
        <w:rPr>
          <w:rStyle w:val="Appelnotedebasdep"/>
          <w:rFonts w:cs="Arial"/>
          <w:bCs/>
          <w:iCs/>
          <w:szCs w:val="22"/>
        </w:rPr>
        <w:footnoteReference w:id="3"/>
      </w:r>
      <w:r w:rsidR="00C70530" w:rsidRPr="00C70530">
        <w:rPr>
          <w:rFonts w:cs="Arial"/>
          <w:bCs/>
          <w:iCs/>
          <w:szCs w:val="22"/>
          <w:vertAlign w:val="superscript"/>
        </w:rPr>
        <w:t>,</w:t>
      </w:r>
      <w:r w:rsidR="00E1792E" w:rsidRPr="00C70530">
        <w:rPr>
          <w:rStyle w:val="Appelnotedebasdep"/>
          <w:rFonts w:cs="Arial"/>
          <w:bCs/>
          <w:iCs/>
          <w:szCs w:val="22"/>
        </w:rPr>
        <w:footnoteReference w:id="4"/>
      </w:r>
      <w:r w:rsidR="005D23CC">
        <w:rPr>
          <w:b/>
          <w:color w:val="FF0000"/>
        </w:rPr>
        <w:t xml:space="preserve"> </w:t>
      </w:r>
      <w:r w:rsidR="00A664A1">
        <w:rPr>
          <w:rFonts w:cs="Arial"/>
          <w:bCs/>
          <w:iCs/>
          <w:szCs w:val="22"/>
        </w:rPr>
        <w:t>dont</w:t>
      </w:r>
      <w:r w:rsidR="005C2D57">
        <w:rPr>
          <w:rFonts w:cs="Arial"/>
          <w:bCs/>
          <w:iCs/>
          <w:szCs w:val="22"/>
        </w:rPr>
        <w:t xml:space="preserve"> celle</w:t>
      </w:r>
      <w:r w:rsidR="00A664A1">
        <w:rPr>
          <w:rFonts w:cs="Arial"/>
          <w:bCs/>
          <w:iCs/>
          <w:szCs w:val="22"/>
        </w:rPr>
        <w:t>s</w:t>
      </w:r>
      <w:r w:rsidR="005C2D57">
        <w:rPr>
          <w:rFonts w:cs="Arial"/>
          <w:bCs/>
          <w:iCs/>
          <w:szCs w:val="22"/>
        </w:rPr>
        <w:t xml:space="preserve"> de l’Afssaps </w:t>
      </w:r>
      <w:r w:rsidR="00C70530">
        <w:rPr>
          <w:rFonts w:cs="Arial"/>
          <w:bCs/>
          <w:iCs/>
          <w:szCs w:val="22"/>
        </w:rPr>
        <w:t>en</w:t>
      </w:r>
      <w:r w:rsidR="005C2D57">
        <w:rPr>
          <w:rFonts w:cs="Arial"/>
          <w:bCs/>
          <w:iCs/>
          <w:szCs w:val="22"/>
        </w:rPr>
        <w:t xml:space="preserve"> 2010 relatives aux douleurs rebelles en situation palliative </w:t>
      </w:r>
      <w:r w:rsidR="005C2D57" w:rsidRPr="005C2D57">
        <w:rPr>
          <w:rFonts w:cs="Arial"/>
          <w:bCs/>
          <w:iCs/>
          <w:szCs w:val="22"/>
        </w:rPr>
        <w:t>avancée</w:t>
      </w:r>
      <w:r w:rsidR="00CA3A59">
        <w:rPr>
          <w:rFonts w:cs="Arial"/>
          <w:bCs/>
          <w:iCs/>
          <w:szCs w:val="22"/>
        </w:rPr>
        <w:t xml:space="preserve"> chez l’adulte. </w:t>
      </w:r>
      <w:r w:rsidR="000255D4" w:rsidRPr="005C2D57">
        <w:rPr>
          <w:rFonts w:cs="Arial"/>
          <w:color w:val="000000" w:themeColor="text1"/>
          <w:szCs w:val="22"/>
        </w:rPr>
        <w:t>METHADONE AP-HP</w:t>
      </w:r>
      <w:r w:rsidR="00CA3A59">
        <w:rPr>
          <w:rFonts w:cs="Arial"/>
          <w:color w:val="000000" w:themeColor="text1"/>
          <w:szCs w:val="22"/>
        </w:rPr>
        <w:t>, gélule et sirop</w:t>
      </w:r>
      <w:r w:rsidR="00A1086B">
        <w:rPr>
          <w:rFonts w:cs="Arial"/>
          <w:color w:val="000000" w:themeColor="text1"/>
          <w:szCs w:val="22"/>
        </w:rPr>
        <w:t>,</w:t>
      </w:r>
      <w:r w:rsidR="008851E0" w:rsidRPr="005C2D57">
        <w:rPr>
          <w:rFonts w:cs="Arial"/>
          <w:bCs/>
          <w:iCs/>
          <w:szCs w:val="22"/>
        </w:rPr>
        <w:t xml:space="preserve"> </w:t>
      </w:r>
      <w:r w:rsidR="00A1086B">
        <w:rPr>
          <w:rFonts w:cs="Arial"/>
          <w:bCs/>
          <w:iCs/>
          <w:szCs w:val="22"/>
        </w:rPr>
        <w:t>est</w:t>
      </w:r>
      <w:r w:rsidR="008851E0" w:rsidRPr="005C2D57">
        <w:rPr>
          <w:rFonts w:cs="Arial"/>
          <w:bCs/>
          <w:iCs/>
          <w:szCs w:val="22"/>
        </w:rPr>
        <w:t xml:space="preserve"> </w:t>
      </w:r>
      <w:r w:rsidR="00C70530">
        <w:rPr>
          <w:rFonts w:cs="Arial"/>
          <w:bCs/>
          <w:iCs/>
          <w:szCs w:val="22"/>
        </w:rPr>
        <w:t>utilisé</w:t>
      </w:r>
      <w:r w:rsidR="008E2555">
        <w:rPr>
          <w:rFonts w:cs="Arial"/>
          <w:bCs/>
          <w:iCs/>
          <w:szCs w:val="22"/>
        </w:rPr>
        <w:t> </w:t>
      </w:r>
      <w:r w:rsidR="00EB0778" w:rsidRPr="005C2D57">
        <w:rPr>
          <w:rFonts w:cs="Arial"/>
          <w:bCs/>
          <w:iCs/>
          <w:szCs w:val="22"/>
        </w:rPr>
        <w:t>hors AMM</w:t>
      </w:r>
      <w:r w:rsidR="00C70530">
        <w:rPr>
          <w:rFonts w:cs="Arial"/>
          <w:bCs/>
          <w:iCs/>
          <w:szCs w:val="22"/>
        </w:rPr>
        <w:t xml:space="preserve"> </w:t>
      </w:r>
      <w:r w:rsidR="00E47001" w:rsidRPr="005C2D57">
        <w:rPr>
          <w:rFonts w:cs="Arial"/>
          <w:bCs/>
          <w:iCs/>
          <w:szCs w:val="22"/>
        </w:rPr>
        <w:t>dans</w:t>
      </w:r>
      <w:r w:rsidR="008851E0" w:rsidRPr="005C2D57">
        <w:rPr>
          <w:rFonts w:cs="Arial"/>
          <w:bCs/>
          <w:iCs/>
          <w:szCs w:val="22"/>
        </w:rPr>
        <w:t xml:space="preserve"> la prise en charge de</w:t>
      </w:r>
      <w:r w:rsidR="00027994">
        <w:rPr>
          <w:rFonts w:cs="Arial"/>
          <w:bCs/>
          <w:iCs/>
          <w:szCs w:val="22"/>
        </w:rPr>
        <w:t xml:space="preserve"> </w:t>
      </w:r>
      <w:r w:rsidR="002B2045">
        <w:rPr>
          <w:rFonts w:cs="Arial"/>
          <w:bCs/>
          <w:iCs/>
          <w:szCs w:val="22"/>
        </w:rPr>
        <w:t xml:space="preserve">ces </w:t>
      </w:r>
      <w:r w:rsidR="00862A2D">
        <w:rPr>
          <w:rFonts w:cs="Arial"/>
          <w:bCs/>
          <w:iCs/>
          <w:szCs w:val="22"/>
        </w:rPr>
        <w:t>douleurs sévères.</w:t>
      </w:r>
    </w:p>
    <w:p w14:paraId="02215F64" w14:textId="77777777" w:rsidR="00B475A2" w:rsidRPr="002B2045" w:rsidRDefault="00B475A2" w:rsidP="00F966EA">
      <w:pPr>
        <w:rPr>
          <w:rFonts w:cs="Arial"/>
          <w:bCs/>
          <w:iCs/>
          <w:szCs w:val="22"/>
        </w:rPr>
      </w:pPr>
    </w:p>
    <w:p w14:paraId="61502E83" w14:textId="77777777" w:rsidR="00485DD1" w:rsidRPr="00485DD1" w:rsidRDefault="00485DD1" w:rsidP="00EB0B9F">
      <w:pPr>
        <w:pStyle w:val="Titre1"/>
      </w:pPr>
      <w:r w:rsidRPr="00485DD1">
        <w:t>Indications thérapeutiques</w:t>
      </w:r>
    </w:p>
    <w:p w14:paraId="5C1539E5" w14:textId="77777777" w:rsidR="00485DD1" w:rsidRPr="00B90CEA" w:rsidRDefault="00485DD1" w:rsidP="00485DD1">
      <w:pPr>
        <w:rPr>
          <w:rFonts w:cs="Arial"/>
          <w:szCs w:val="22"/>
          <w:u w:val="single"/>
        </w:rPr>
      </w:pPr>
      <w:r w:rsidRPr="00B90CEA">
        <w:rPr>
          <w:rFonts w:cs="Arial"/>
          <w:szCs w:val="22"/>
        </w:rPr>
        <w:t>« </w:t>
      </w:r>
      <w:r w:rsidR="00326E99" w:rsidRPr="00326E99">
        <w:rPr>
          <w:rFonts w:cs="Arial"/>
          <w:bCs/>
          <w:szCs w:val="22"/>
        </w:rPr>
        <w:t>ZORYON</w:t>
      </w:r>
      <w:r w:rsidR="00326E99" w:rsidRPr="00326E99">
        <w:rPr>
          <w:rFonts w:cs="Arial"/>
          <w:bCs/>
          <w:szCs w:val="22"/>
          <w:vertAlign w:val="superscript"/>
        </w:rPr>
        <w:t xml:space="preserve"> </w:t>
      </w:r>
      <w:r w:rsidR="00326E99" w:rsidRPr="00326E99">
        <w:rPr>
          <w:rFonts w:cs="Arial"/>
          <w:bCs/>
          <w:szCs w:val="22"/>
        </w:rPr>
        <w:t>est indiqué chez les adultes et les adolescents à partir de 15 ans dans le traitement de fond de douleurs d’origine</w:t>
      </w:r>
      <w:r w:rsidR="00326E99" w:rsidRPr="00326E99">
        <w:rPr>
          <w:rFonts w:cs="Arial"/>
          <w:bCs/>
          <w:szCs w:val="22"/>
          <w:vertAlign w:val="superscript"/>
        </w:rPr>
        <w:t xml:space="preserve"> </w:t>
      </w:r>
      <w:r w:rsidR="00326E99" w:rsidRPr="00326E99">
        <w:rPr>
          <w:rFonts w:cs="Arial"/>
          <w:bCs/>
          <w:szCs w:val="22"/>
        </w:rPr>
        <w:t xml:space="preserve">cancéreuse d’intensité modérée à sévère chez les </w:t>
      </w:r>
      <w:r w:rsidR="00326E99" w:rsidRPr="00CA240D">
        <w:rPr>
          <w:rFonts w:cs="Arial"/>
          <w:bCs/>
          <w:szCs w:val="22"/>
        </w:rPr>
        <w:t>patients qui ne sont pas soulagés de façon adéquate par d’autres opioïdes de palier 3, en raison d</w:t>
      </w:r>
      <w:r w:rsidR="00326E99" w:rsidRPr="00326E99">
        <w:rPr>
          <w:rFonts w:cs="Arial"/>
          <w:bCs/>
          <w:szCs w:val="22"/>
        </w:rPr>
        <w:t>’une efficacité insuffisante et/ou d’effets indésirables excessifs</w:t>
      </w:r>
      <w:r w:rsidRPr="00B90CEA">
        <w:rPr>
          <w:rFonts w:cs="Arial"/>
          <w:szCs w:val="22"/>
        </w:rPr>
        <w:t>. »</w:t>
      </w:r>
    </w:p>
    <w:p w14:paraId="355AEC05" w14:textId="77777777" w:rsidR="004531E3" w:rsidRPr="00B90CEA" w:rsidRDefault="004531E3" w:rsidP="00485DD1">
      <w:pPr>
        <w:rPr>
          <w:rFonts w:cs="Arial"/>
          <w:szCs w:val="22"/>
          <w:u w:val="single"/>
        </w:rPr>
      </w:pPr>
    </w:p>
    <w:p w14:paraId="7C1D4FE2" w14:textId="2191CE0C" w:rsidR="004531E3" w:rsidRPr="004531E3" w:rsidRDefault="004531E3" w:rsidP="00EB0B9F">
      <w:pPr>
        <w:pStyle w:val="Titre1"/>
      </w:pPr>
      <w:r w:rsidRPr="004531E3">
        <w:t>Posologie</w:t>
      </w:r>
    </w:p>
    <w:p w14:paraId="0B8E89AA" w14:textId="00FBDA27" w:rsidR="00326E99" w:rsidRDefault="00326E99" w:rsidP="00326E99">
      <w:pPr>
        <w:rPr>
          <w:rFonts w:cs="Arial"/>
          <w:bCs/>
          <w:szCs w:val="22"/>
        </w:rPr>
      </w:pPr>
      <w:r>
        <w:rPr>
          <w:rFonts w:cs="Arial"/>
          <w:bCs/>
          <w:szCs w:val="22"/>
        </w:rPr>
        <w:t>« Le traitement doit être instauré par une équipe hospitalière spécialisée dans la prise en charge de la douleur ou des soins palliatifs et expérimentée dans l’utilisation de la méthadone.</w:t>
      </w:r>
      <w:r w:rsidR="00AF2C2B">
        <w:rPr>
          <w:rFonts w:cs="Arial"/>
          <w:bCs/>
          <w:szCs w:val="22"/>
        </w:rPr>
        <w:t> »</w:t>
      </w:r>
    </w:p>
    <w:p w14:paraId="7643FC45" w14:textId="77777777" w:rsidR="00326E99" w:rsidRDefault="00326E99" w:rsidP="00326E99"/>
    <w:p w14:paraId="2931E824" w14:textId="77777777" w:rsidR="00326E99" w:rsidRDefault="00326E99" w:rsidP="00326E99">
      <w:pPr>
        <w:rPr>
          <w:b/>
          <w:u w:val="single"/>
        </w:rPr>
      </w:pPr>
      <w:r w:rsidRPr="00AD278C">
        <w:rPr>
          <w:b/>
          <w:u w:val="single"/>
        </w:rPr>
        <w:t xml:space="preserve">Posologie </w:t>
      </w:r>
    </w:p>
    <w:p w14:paraId="7AA37754" w14:textId="0FE99A5F" w:rsidR="00326E99" w:rsidRPr="00424C92" w:rsidRDefault="00AF2C2B" w:rsidP="00424C92">
      <w:pPr>
        <w:spacing w:before="120"/>
      </w:pPr>
      <w:r>
        <w:t>« </w:t>
      </w:r>
      <w:r w:rsidR="00326E99" w:rsidRPr="00424C92">
        <w:t>La posologie de chaque patient doit être déterminée individuellement, en fonction de la situation clinique (traitement antalgique antérieur, facteurs de risques d’addiction) et de l’objectif thérapeutique.</w:t>
      </w:r>
    </w:p>
    <w:p w14:paraId="6C25D1F1" w14:textId="77777777" w:rsidR="00326E99" w:rsidRDefault="00326E99" w:rsidP="00326E99">
      <w:r>
        <w:t xml:space="preserve">Plusieurs protocoles de conversion d’un traitement opioïde vers la méthadone ont été étudiés et sont actuellement utilisés lors de l’instauration d’un traitement par méthadone dans les douleurs d’origine cancéreuses. </w:t>
      </w:r>
      <w:r w:rsidRPr="00317CC0">
        <w:t>Les deux protocoles utilisés dans l’étude clinique ayant évalué ZORYON</w:t>
      </w:r>
      <w:r w:rsidRPr="00A70204">
        <w:rPr>
          <w:vertAlign w:val="superscript"/>
        </w:rPr>
        <w:t xml:space="preserve"> </w:t>
      </w:r>
      <w:r w:rsidRPr="00317CC0">
        <w:t>(EQUIMETH2) n’ont pas démontré une supériorité d’efficacité l’un par rapport à l’autre</w:t>
      </w:r>
      <w:r>
        <w:t>.</w:t>
      </w:r>
      <w:r w:rsidRPr="00317CC0">
        <w:t xml:space="preserve"> </w:t>
      </w:r>
    </w:p>
    <w:p w14:paraId="01F3F148" w14:textId="77777777" w:rsidR="00326E99" w:rsidRDefault="00326E99" w:rsidP="00326E99">
      <w:r>
        <w:t>Le choix du protocole à utiliser lors de l’instauration du traitement est laissé à l’appréciatio</w:t>
      </w:r>
      <w:r w:rsidR="00424C92">
        <w:t>n de l’équipe hospitalière. </w:t>
      </w:r>
    </w:p>
    <w:p w14:paraId="067C0BD6" w14:textId="77777777" w:rsidR="00326E99" w:rsidRDefault="00326E99" w:rsidP="00326E99"/>
    <w:p w14:paraId="5FDEB874" w14:textId="77777777" w:rsidR="00326E99" w:rsidRPr="00326E99" w:rsidRDefault="00326E99" w:rsidP="00326E99">
      <w:pPr>
        <w:rPr>
          <w:b/>
          <w:u w:val="single"/>
        </w:rPr>
      </w:pPr>
      <w:r w:rsidRPr="00326E99">
        <w:rPr>
          <w:b/>
          <w:u w:val="single"/>
        </w:rPr>
        <w:t>Mode d’administration</w:t>
      </w:r>
    </w:p>
    <w:p w14:paraId="7E57354F" w14:textId="77777777" w:rsidR="00326E99" w:rsidRDefault="00326E99" w:rsidP="00424C92">
      <w:pPr>
        <w:spacing w:before="120"/>
      </w:pPr>
      <w:r w:rsidRPr="00326E99">
        <w:t>Ce médicament est administré par voie orale.</w:t>
      </w:r>
    </w:p>
    <w:p w14:paraId="72A5204A" w14:textId="77777777" w:rsidR="00326E99" w:rsidRPr="00326E99" w:rsidRDefault="00326E99" w:rsidP="00424C92">
      <w:pPr>
        <w:spacing w:before="120"/>
        <w:rPr>
          <w:i/>
          <w:u w:val="single"/>
        </w:rPr>
      </w:pPr>
      <w:r w:rsidRPr="00326E99">
        <w:rPr>
          <w:i/>
          <w:u w:val="single"/>
        </w:rPr>
        <w:t xml:space="preserve">Surveillance particulière </w:t>
      </w:r>
    </w:p>
    <w:p w14:paraId="43D4BC2E" w14:textId="77777777" w:rsidR="00326E99" w:rsidRPr="00326E99" w:rsidRDefault="00326E99" w:rsidP="00424C92">
      <w:pPr>
        <w:spacing w:before="120"/>
      </w:pPr>
      <w:r w:rsidRPr="00326E99">
        <w:t>L’instauration et la titration du traitement nécessitent l’hospitalisation du patient.</w:t>
      </w:r>
    </w:p>
    <w:p w14:paraId="53440FF2" w14:textId="77777777" w:rsidR="00326E99" w:rsidRPr="00326E99" w:rsidRDefault="00326E99" w:rsidP="00326E99">
      <w:r w:rsidRPr="00326E99">
        <w:t xml:space="preserve">Une surveillance ECG doit être réalisée chez tous les patients avec un examen avant l’instauration de la méthadone et poursuivie si nécessaire tout au long du traitement </w:t>
      </w:r>
    </w:p>
    <w:p w14:paraId="75248B95" w14:textId="77777777" w:rsidR="00326E99" w:rsidRPr="00326E99" w:rsidRDefault="00326E99" w:rsidP="00424C92">
      <w:pPr>
        <w:spacing w:before="60"/>
      </w:pPr>
      <w:r w:rsidRPr="00326E99">
        <w:rPr>
          <w:b/>
        </w:rPr>
        <w:t>Phase de titration</w:t>
      </w:r>
    </w:p>
    <w:p w14:paraId="160BB6B6" w14:textId="77777777" w:rsidR="00326E99" w:rsidRPr="00326E99" w:rsidRDefault="00326E99" w:rsidP="00326E99">
      <w:r w:rsidRPr="00326E99">
        <w:t>Le patient doit être hospitalisé lors de la phase de titration, du fait d’une surveillance attentive nécessaire afin de détecter tout signe de surdosage, en particulier afin de prévenir et prendre en charge tout risque de dépression respiratoire.</w:t>
      </w:r>
    </w:p>
    <w:p w14:paraId="5A6D2707" w14:textId="77777777" w:rsidR="00326E99" w:rsidRPr="00326E99" w:rsidRDefault="00326E99" w:rsidP="00326E99">
      <w:r w:rsidRPr="00326E99">
        <w:t>Ce risque est maximal durant les premiers jours après l’introduction de ZORYON.</w:t>
      </w:r>
    </w:p>
    <w:p w14:paraId="287F1940" w14:textId="77777777" w:rsidR="00326E99" w:rsidRPr="00326E99" w:rsidRDefault="00326E99" w:rsidP="00326E99">
      <w:r w:rsidRPr="00326E99">
        <w:t>Une fois que la posologie optimale a été obtenue, le traitement peut être poursuivi à domicile.</w:t>
      </w:r>
    </w:p>
    <w:p w14:paraId="2EF880B2" w14:textId="77777777" w:rsidR="00326E99" w:rsidRPr="00326E99" w:rsidRDefault="00326E99" w:rsidP="00326E99">
      <w:r w:rsidRPr="00326E99">
        <w:t>Le patient et son entourage doivent être avertis des signes de surdosage qui doivent les amener à consulter un médecin en urgence.</w:t>
      </w:r>
    </w:p>
    <w:p w14:paraId="0E6DFB58" w14:textId="77777777" w:rsidR="00326E99" w:rsidRPr="00326E99" w:rsidRDefault="00326E99" w:rsidP="00326E99">
      <w:r w:rsidRPr="00326E99">
        <w:t xml:space="preserve">L’intérêt de la poursuite du traitement doit être régulièrement réévalué au regard des besoins analgésiques et des effets indésirables  </w:t>
      </w:r>
    </w:p>
    <w:p w14:paraId="2C5007CE" w14:textId="77777777" w:rsidR="00326E99" w:rsidRPr="00326E99" w:rsidRDefault="00326E99" w:rsidP="00424C92">
      <w:pPr>
        <w:spacing w:before="60"/>
        <w:rPr>
          <w:b/>
        </w:rPr>
      </w:pPr>
      <w:r w:rsidRPr="00326E99">
        <w:rPr>
          <w:b/>
        </w:rPr>
        <w:t xml:space="preserve">Ajustement de la posologie </w:t>
      </w:r>
    </w:p>
    <w:p w14:paraId="15484374" w14:textId="77777777" w:rsidR="00326E99" w:rsidRPr="00326E99" w:rsidRDefault="00326E99" w:rsidP="00326E99">
      <w:r w:rsidRPr="00326E99">
        <w:t>La posologie doit être ajustée au cas par cas en fonction de l’utilisation moyenne quotidienne d’analgésiques jusqu’à ce qu’un équilibre entre efficacité analgésique et tolérance soit atteint.</w:t>
      </w:r>
    </w:p>
    <w:p w14:paraId="105075E9" w14:textId="77777777" w:rsidR="00326E99" w:rsidRPr="00326E99" w:rsidRDefault="00326E99" w:rsidP="00326E99">
      <w:r w:rsidRPr="00326E99">
        <w:t xml:space="preserve">L’ajustement de la posologie peut être fait toutes les 24-48 heures. Toute augmentation de la posologie présente un risque de surdosage qui doit être surveillé. En cas de mauvaise tolérance, d’effets indésirables, la dose suivante peut-être diminuée ou les intervalles modifiés (p.ex. toutes les 8 heures ou toutes les 12 heures). </w:t>
      </w:r>
    </w:p>
    <w:p w14:paraId="79C82B08" w14:textId="77777777" w:rsidR="00326E99" w:rsidRPr="00326E99" w:rsidRDefault="00326E99" w:rsidP="00424C92">
      <w:pPr>
        <w:spacing w:before="60"/>
        <w:rPr>
          <w:rFonts w:cs="Arial"/>
          <w:b/>
        </w:rPr>
      </w:pPr>
      <w:r w:rsidRPr="00326E99">
        <w:rPr>
          <w:rFonts w:cs="Arial"/>
          <w:b/>
        </w:rPr>
        <w:t>Conversion de la méthadone vers d’autres opioïdes</w:t>
      </w:r>
    </w:p>
    <w:p w14:paraId="0F27C560" w14:textId="77777777" w:rsidR="00326E99" w:rsidRPr="008E2555" w:rsidRDefault="00326E99" w:rsidP="00424C92">
      <w:pPr>
        <w:rPr>
          <w:rFonts w:cs="Arial"/>
          <w:color w:val="000000" w:themeColor="text1"/>
        </w:rPr>
      </w:pPr>
      <w:r w:rsidRPr="008E2555">
        <w:rPr>
          <w:rFonts w:cs="Arial"/>
          <w:color w:val="000000" w:themeColor="text1"/>
        </w:rPr>
        <w:t xml:space="preserve">S’il s’avère nécessaire de remplacer ZORYON par un autre opioïde, il convient de tenir compte de la durée et de la variabilité de la demi-vie de la méthadone. </w:t>
      </w:r>
    </w:p>
    <w:p w14:paraId="03CBA3E8" w14:textId="77777777" w:rsidR="00326E99" w:rsidRPr="00326E99" w:rsidRDefault="00326E99" w:rsidP="00424C92">
      <w:pPr>
        <w:spacing w:before="60"/>
        <w:rPr>
          <w:rFonts w:cs="Arial"/>
          <w:b/>
        </w:rPr>
      </w:pPr>
      <w:r w:rsidRPr="00326E99">
        <w:rPr>
          <w:rFonts w:cs="Arial"/>
          <w:b/>
        </w:rPr>
        <w:t xml:space="preserve">Arrêt du traitement </w:t>
      </w:r>
    </w:p>
    <w:p w14:paraId="365BBF51" w14:textId="77777777" w:rsidR="00326E99" w:rsidRPr="00326E99" w:rsidRDefault="00326E99" w:rsidP="00424C92">
      <w:pPr>
        <w:rPr>
          <w:rFonts w:cs="Arial"/>
        </w:rPr>
      </w:pPr>
      <w:r w:rsidRPr="00326E99">
        <w:rPr>
          <w:rFonts w:cs="Arial"/>
        </w:rPr>
        <w:t xml:space="preserve">Comme tout traitement analgésique opioïde, le traitement par ZORYON doit être arrêté progressivement afin d’éviter les symptômes de sevrage. </w:t>
      </w:r>
    </w:p>
    <w:p w14:paraId="78C75D90" w14:textId="77777777" w:rsidR="00326E99" w:rsidRPr="00326E99" w:rsidRDefault="008067F6" w:rsidP="00424C92">
      <w:pPr>
        <w:spacing w:before="120"/>
        <w:rPr>
          <w:i/>
          <w:u w:val="single"/>
        </w:rPr>
      </w:pPr>
      <w:r>
        <w:rPr>
          <w:i/>
          <w:u w:val="single"/>
        </w:rPr>
        <w:t xml:space="preserve">Populations particulières </w:t>
      </w:r>
    </w:p>
    <w:p w14:paraId="135D6709" w14:textId="77777777" w:rsidR="00326E99" w:rsidRPr="00326E99" w:rsidRDefault="00326E99" w:rsidP="00424C92">
      <w:pPr>
        <w:spacing w:before="120"/>
        <w:rPr>
          <w:rFonts w:cs="Arial"/>
          <w:b/>
        </w:rPr>
      </w:pPr>
      <w:r w:rsidRPr="00326E99">
        <w:rPr>
          <w:rFonts w:cs="Arial"/>
          <w:b/>
        </w:rPr>
        <w:t xml:space="preserve">Enfants et adolescents de moins de 15 ans </w:t>
      </w:r>
    </w:p>
    <w:p w14:paraId="0146725B" w14:textId="77777777" w:rsidR="00326E99" w:rsidRPr="00424C92" w:rsidRDefault="00326E99" w:rsidP="00424C92">
      <w:pPr>
        <w:rPr>
          <w:rFonts w:cs="Arial"/>
          <w:color w:val="000000" w:themeColor="text1"/>
        </w:rPr>
      </w:pPr>
      <w:r w:rsidRPr="00424C92">
        <w:rPr>
          <w:rFonts w:cs="Arial"/>
          <w:color w:val="000000" w:themeColor="text1"/>
        </w:rPr>
        <w:t xml:space="preserve">ZORYON est contre-indiqué chez l’enfant de moins de 15 ans en raison de l’absence de données d’efficacité et de sécurité dans cette population. </w:t>
      </w:r>
    </w:p>
    <w:p w14:paraId="069DB560" w14:textId="77777777" w:rsidR="00326E99" w:rsidRPr="00326E99" w:rsidRDefault="00326E99" w:rsidP="00424C92">
      <w:pPr>
        <w:spacing w:before="60"/>
        <w:rPr>
          <w:rFonts w:cs="Arial"/>
          <w:b/>
        </w:rPr>
      </w:pPr>
      <w:r w:rsidRPr="00326E99">
        <w:rPr>
          <w:rFonts w:cs="Arial"/>
          <w:b/>
        </w:rPr>
        <w:t xml:space="preserve">Patients âgés </w:t>
      </w:r>
    </w:p>
    <w:p w14:paraId="6B43CCB6" w14:textId="77777777" w:rsidR="00326E99" w:rsidRPr="00326E99" w:rsidRDefault="00326E99" w:rsidP="00424C92">
      <w:pPr>
        <w:rPr>
          <w:rFonts w:cs="Arial"/>
        </w:rPr>
      </w:pPr>
      <w:r w:rsidRPr="00326E99">
        <w:rPr>
          <w:rFonts w:cs="Arial"/>
        </w:rPr>
        <w:t xml:space="preserve">ZORYON doit être administré avec précaution chez le sujet âgé compte tenu du risque accru d’insuffisance hépatique, rénale ou cardiaque, de la présence d’affections concomitantes et de la prise d’autres médicaments. </w:t>
      </w:r>
    </w:p>
    <w:p w14:paraId="2311473B" w14:textId="77777777" w:rsidR="00326E99" w:rsidRPr="00326E99" w:rsidRDefault="00326E99" w:rsidP="00424C92">
      <w:pPr>
        <w:rPr>
          <w:rFonts w:cs="Arial"/>
        </w:rPr>
      </w:pPr>
      <w:r w:rsidRPr="00326E99">
        <w:rPr>
          <w:rFonts w:cs="Arial"/>
        </w:rPr>
        <w:t xml:space="preserve">Ces patients doivent être suivis de façon encore plus attentive pendant la titration, en particulier pour déceler tout signe de dépression respiratoire ou du système nerveux central.  </w:t>
      </w:r>
    </w:p>
    <w:p w14:paraId="68E6663E" w14:textId="77777777" w:rsidR="00326E99" w:rsidRPr="00326E99" w:rsidRDefault="00326E99" w:rsidP="00424C92">
      <w:pPr>
        <w:spacing w:before="60"/>
        <w:rPr>
          <w:rFonts w:cs="Arial"/>
          <w:b/>
        </w:rPr>
      </w:pPr>
      <w:r w:rsidRPr="00326E99">
        <w:rPr>
          <w:rFonts w:cs="Arial"/>
          <w:b/>
        </w:rPr>
        <w:t xml:space="preserve">Insuffisance rénale ou hépatique </w:t>
      </w:r>
    </w:p>
    <w:p w14:paraId="69ED411F" w14:textId="77777777" w:rsidR="004A7541" w:rsidRDefault="00326E99" w:rsidP="004346F7">
      <w:pPr>
        <w:rPr>
          <w:rFonts w:cs="Arial"/>
        </w:rPr>
      </w:pPr>
      <w:r w:rsidRPr="00326E99">
        <w:rPr>
          <w:rFonts w:cs="Arial"/>
        </w:rPr>
        <w:t xml:space="preserve">La pharmacocinétique de la méthadone n’ayant pas été évaluée de façon approfondie chez des patients avec une insuffisance rénale ou hépatique, la prudence s’impose chez ces patients, notamment au moment de la titration, afin de détecter d’éventuels signes de dépression </w:t>
      </w:r>
      <w:r w:rsidR="004346F7">
        <w:rPr>
          <w:rFonts w:cs="Arial"/>
        </w:rPr>
        <w:t>r</w:t>
      </w:r>
      <w:r w:rsidRPr="00326E99">
        <w:rPr>
          <w:rFonts w:cs="Arial"/>
        </w:rPr>
        <w:t>espiratoire ou du système nerveux central.</w:t>
      </w:r>
      <w:r>
        <w:rPr>
          <w:rFonts w:cs="Arial"/>
        </w:rPr>
        <w:t> »</w:t>
      </w:r>
    </w:p>
    <w:p w14:paraId="7B337AB3" w14:textId="77777777" w:rsidR="00AF2C2B" w:rsidRDefault="00AF2C2B" w:rsidP="004346F7">
      <w:pPr>
        <w:rPr>
          <w:rFonts w:cs="Arial"/>
        </w:rPr>
      </w:pPr>
    </w:p>
    <w:p w14:paraId="5CF0BD3A" w14:textId="3BA1104E" w:rsidR="00914350" w:rsidRPr="004531E3" w:rsidRDefault="00914350" w:rsidP="00914350">
      <w:pPr>
        <w:pStyle w:val="Titre1"/>
      </w:pPr>
      <w:r w:rsidRPr="004531E3">
        <w:t>P</w:t>
      </w:r>
      <w:r>
        <w:t>ropriétés pharmacocinétiques</w:t>
      </w:r>
    </w:p>
    <w:p w14:paraId="036E0D16" w14:textId="6B555350" w:rsidR="00914350" w:rsidRPr="00AF2C2B" w:rsidRDefault="00914350" w:rsidP="00914350">
      <w:pPr>
        <w:spacing w:before="120"/>
        <w:rPr>
          <w:i/>
          <w:u w:val="single"/>
        </w:rPr>
      </w:pPr>
      <w:bookmarkStart w:id="13" w:name="_Toc142278934"/>
      <w:r w:rsidRPr="00F54371">
        <w:rPr>
          <w:i/>
        </w:rPr>
        <w:t xml:space="preserve"> « </w:t>
      </w:r>
      <w:r>
        <w:rPr>
          <w:i/>
          <w:u w:val="single"/>
        </w:rPr>
        <w:t>Absorption</w:t>
      </w:r>
      <w:bookmarkEnd w:id="13"/>
    </w:p>
    <w:p w14:paraId="2FF8BBC4" w14:textId="77777777" w:rsidR="00914350" w:rsidRPr="00AF2C2B" w:rsidRDefault="00914350" w:rsidP="00914350">
      <w:pPr>
        <w:rPr>
          <w:rFonts w:cs="Arial"/>
          <w:szCs w:val="22"/>
        </w:rPr>
      </w:pPr>
      <w:r w:rsidRPr="00AF2C2B">
        <w:rPr>
          <w:rFonts w:cs="Arial"/>
          <w:szCs w:val="22"/>
        </w:rPr>
        <w:t>Du fait de son caractère liposoluble, la méthadone administrée par voie orale est bien absorbée par le tube digestif, le pic plasmatique est observé 2,5 à 4 heures après l’administration. Elle subit un effet de premier passage hépatique.</w:t>
      </w:r>
    </w:p>
    <w:p w14:paraId="74481F93" w14:textId="77777777" w:rsidR="00914350" w:rsidRPr="00AF2C2B" w:rsidRDefault="00914350" w:rsidP="00914350">
      <w:pPr>
        <w:spacing w:before="120"/>
        <w:rPr>
          <w:i/>
          <w:u w:val="single"/>
        </w:rPr>
      </w:pPr>
      <w:r>
        <w:rPr>
          <w:i/>
          <w:u w:val="single"/>
        </w:rPr>
        <w:t>Distribution</w:t>
      </w:r>
    </w:p>
    <w:p w14:paraId="0DF02E49" w14:textId="77777777" w:rsidR="00914350" w:rsidRPr="00AF2C2B" w:rsidRDefault="00914350" w:rsidP="00914350">
      <w:pPr>
        <w:rPr>
          <w:rFonts w:cs="Arial"/>
          <w:szCs w:val="22"/>
        </w:rPr>
      </w:pPr>
      <w:r w:rsidRPr="00AF2C2B">
        <w:rPr>
          <w:rFonts w:cs="Arial"/>
          <w:szCs w:val="22"/>
        </w:rPr>
        <w:t>La méthadone se lie à l'albumine et aux autres protéines plasmatiques et tissulaires, ce qui peut expliquer ses effets cumulatifs et sa lente vitesse d'élimination (son taux de fixation aux protéines plasmatiques est de 60% à 90%). Les concentrations tissulaires en méthadone (poumon, foie, rein) sont supérieures à la concentration plasmatique. Elle diffuse à travers le placenta et est excrétée dans le lait. Sa demi-vie plasmatique est très variable d’un patient à l’autre : des demi-vies de 12 à plusieurs dizaines d’heures ont été rapportées.</w:t>
      </w:r>
    </w:p>
    <w:p w14:paraId="522C5EF1" w14:textId="77777777" w:rsidR="00914350" w:rsidRPr="00AF2C2B" w:rsidRDefault="00914350" w:rsidP="00914350">
      <w:pPr>
        <w:spacing w:before="120"/>
        <w:rPr>
          <w:i/>
          <w:u w:val="single"/>
        </w:rPr>
      </w:pPr>
      <w:r>
        <w:rPr>
          <w:i/>
          <w:u w:val="single"/>
        </w:rPr>
        <w:t>Biotransformation</w:t>
      </w:r>
    </w:p>
    <w:p w14:paraId="0B4314C7" w14:textId="77777777" w:rsidR="00914350" w:rsidRPr="00AF2C2B" w:rsidRDefault="00914350" w:rsidP="00914350">
      <w:pPr>
        <w:rPr>
          <w:rFonts w:cs="Arial"/>
          <w:szCs w:val="22"/>
        </w:rPr>
      </w:pPr>
      <w:r w:rsidRPr="00AF2C2B">
        <w:rPr>
          <w:rFonts w:cs="Arial"/>
          <w:szCs w:val="22"/>
        </w:rPr>
        <w:t xml:space="preserve">La méthadone est métabolisée principalement au niveau hépatique où elle subit une N-déméthylation et une cyclisation sans conjugaison. Les métabolites sont inactifs. </w:t>
      </w:r>
    </w:p>
    <w:p w14:paraId="2780C5E0" w14:textId="6A146479" w:rsidR="00914350" w:rsidRPr="00AF2C2B" w:rsidRDefault="00914350" w:rsidP="00914350">
      <w:pPr>
        <w:rPr>
          <w:rFonts w:cs="Arial"/>
          <w:szCs w:val="22"/>
        </w:rPr>
      </w:pPr>
      <w:r w:rsidRPr="00AF2C2B">
        <w:rPr>
          <w:rFonts w:cs="Arial"/>
          <w:szCs w:val="22"/>
        </w:rPr>
        <w:t>Des études in vitro et in vivo ont montré que le cytochrome P3A4 a peu d’influence sur la distribution, le métabolisme et la clairance de la méthadone. Par ailleurs, les cytochromes CYP2B6 et CYP2C19 ont des effets stéréosélectifs sur son métabolisme, le CYP2B6 métabolisant préférentiellement la S-méthadone et le CYP2C19 la R-méthadone. Le métabolisme de la méthadone dépend principalement de l’isoenzyme CYP2B6</w:t>
      </w:r>
      <w:r w:rsidR="007D3F6D">
        <w:rPr>
          <w:rFonts w:cs="Arial"/>
          <w:szCs w:val="22"/>
        </w:rPr>
        <w:t> ;</w:t>
      </w:r>
      <w:r w:rsidRPr="00AF2C2B">
        <w:rPr>
          <w:rFonts w:cs="Arial"/>
          <w:szCs w:val="22"/>
        </w:rPr>
        <w:t xml:space="preserve"> la pertinence clinique de l’effet des substances inhibant cette isoenzyme est incertaine.</w:t>
      </w:r>
    </w:p>
    <w:p w14:paraId="1233E2F7" w14:textId="77777777" w:rsidR="00914350" w:rsidRPr="00AF2C2B" w:rsidRDefault="00914350" w:rsidP="00914350">
      <w:pPr>
        <w:spacing w:before="120"/>
        <w:rPr>
          <w:i/>
          <w:u w:val="single"/>
        </w:rPr>
      </w:pPr>
      <w:r>
        <w:rPr>
          <w:i/>
          <w:u w:val="single"/>
        </w:rPr>
        <w:t>Elimination</w:t>
      </w:r>
    </w:p>
    <w:p w14:paraId="6B96E73C" w14:textId="77777777" w:rsidR="00914350" w:rsidRPr="00AF2C2B" w:rsidRDefault="00914350" w:rsidP="00914350">
      <w:pPr>
        <w:rPr>
          <w:rFonts w:cs="Arial"/>
          <w:szCs w:val="22"/>
        </w:rPr>
      </w:pPr>
      <w:r w:rsidRPr="00AF2C2B">
        <w:rPr>
          <w:rFonts w:cs="Arial"/>
          <w:szCs w:val="22"/>
        </w:rPr>
        <w:t xml:space="preserve">La méthadone est excrétée par filtration glomérulaire puis subit une réabsorption rénale. Sa clairance rénale diminue avec l’augmentation du pH urinaire. </w:t>
      </w:r>
    </w:p>
    <w:p w14:paraId="1731C9E8" w14:textId="77777777" w:rsidR="00914350" w:rsidRDefault="00914350" w:rsidP="00914350">
      <w:pPr>
        <w:rPr>
          <w:rFonts w:cs="Arial"/>
          <w:szCs w:val="22"/>
        </w:rPr>
      </w:pPr>
      <w:r w:rsidRPr="00AF2C2B">
        <w:rPr>
          <w:rFonts w:cs="Arial"/>
          <w:szCs w:val="22"/>
        </w:rPr>
        <w:t>L'excrétion urinaire est dose-dépendante et représente la voie principale d'élimination. Après l'administration d'une dose unique de méthadone, 20% sont excrétés dans les urines sous forme inchangée et 13% sous forme métabolisée. 20 à 40% de la dose initiale sont également excrétés dans les fèces sous forme métabolisée via la bile. La méthadone peut être trouvée dans la sueur et la salive.</w:t>
      </w:r>
      <w:r>
        <w:rPr>
          <w:rFonts w:cs="Arial"/>
          <w:szCs w:val="22"/>
        </w:rPr>
        <w:t> »</w:t>
      </w:r>
    </w:p>
    <w:p w14:paraId="4DE831FB" w14:textId="77777777" w:rsidR="004346F7" w:rsidRDefault="004346F7" w:rsidP="004346F7">
      <w:pPr>
        <w:rPr>
          <w:rFonts w:cs="Arial"/>
        </w:rPr>
      </w:pPr>
    </w:p>
    <w:p w14:paraId="5FD23D5A" w14:textId="02935706" w:rsidR="00BE18FE" w:rsidRPr="009E2347" w:rsidRDefault="00B52953" w:rsidP="00BE18FE">
      <w:pPr>
        <w:pStyle w:val="Titre1"/>
        <w:rPr>
          <w:sz w:val="20"/>
        </w:rPr>
      </w:pPr>
      <w:r>
        <w:t>Beso</w:t>
      </w:r>
      <w:r w:rsidRPr="00F54F07">
        <w:t xml:space="preserve">in </w:t>
      </w:r>
      <w:r w:rsidR="007C1F1D" w:rsidRPr="007C1F1D">
        <w:t>médical</w:t>
      </w:r>
      <w:r w:rsidR="00D26311" w:rsidRPr="00F54F07">
        <w:rPr>
          <w:rStyle w:val="Appelnotedebasdep"/>
          <w:rFonts w:cs="Arial"/>
          <w:szCs w:val="32"/>
        </w:rPr>
        <w:footnoteReference w:id="5"/>
      </w:r>
      <w:r w:rsidR="00D26311" w:rsidRPr="00F54F07">
        <w:rPr>
          <w:rFonts w:cs="Arial"/>
          <w:szCs w:val="32"/>
          <w:vertAlign w:val="superscript"/>
        </w:rPr>
        <w:t>,</w:t>
      </w:r>
      <w:r w:rsidR="00D26311" w:rsidRPr="00F54F07">
        <w:rPr>
          <w:rStyle w:val="Appelnotedebasdep"/>
          <w:rFonts w:cs="Arial"/>
          <w:szCs w:val="32"/>
        </w:rPr>
        <w:footnoteReference w:id="6"/>
      </w:r>
      <w:r w:rsidR="00BA42E2" w:rsidRPr="00F54F07">
        <w:rPr>
          <w:rFonts w:cs="Arial"/>
          <w:szCs w:val="32"/>
          <w:vertAlign w:val="superscript"/>
        </w:rPr>
        <w:t>,</w:t>
      </w:r>
      <w:r w:rsidR="00BA42E2" w:rsidRPr="00F54F07">
        <w:rPr>
          <w:rStyle w:val="Appelnotedebasdep"/>
          <w:rFonts w:cs="Arial"/>
          <w:szCs w:val="32"/>
        </w:rPr>
        <w:footnoteReference w:id="7"/>
      </w:r>
    </w:p>
    <w:p w14:paraId="75C9DAE7" w14:textId="3F4C0987" w:rsidR="00F27063" w:rsidRDefault="005F3BC2" w:rsidP="004531E3">
      <w:r>
        <w:t xml:space="preserve">En </w:t>
      </w:r>
      <w:r w:rsidR="00251CC7">
        <w:t>oncologie</w:t>
      </w:r>
      <w:r>
        <w:t xml:space="preserve">, </w:t>
      </w:r>
      <w:r w:rsidR="00F54F07">
        <w:t xml:space="preserve">la mise en jeu de </w:t>
      </w:r>
      <w:r w:rsidR="004F5DA2">
        <w:t xml:space="preserve">la </w:t>
      </w:r>
      <w:r>
        <w:t xml:space="preserve">nociception et/ou </w:t>
      </w:r>
      <w:r w:rsidR="004F5DA2">
        <w:t xml:space="preserve">de </w:t>
      </w:r>
      <w:r>
        <w:t xml:space="preserve">mécanismes neuropathiques </w:t>
      </w:r>
      <w:r w:rsidR="005D23CC">
        <w:t>sont impliqués dans</w:t>
      </w:r>
      <w:r>
        <w:t xml:space="preserve"> la majorité des douleurs</w:t>
      </w:r>
      <w:r w:rsidR="009414CC">
        <w:t>.</w:t>
      </w:r>
      <w:r>
        <w:t xml:space="preserve"> </w:t>
      </w:r>
      <w:r w:rsidR="004F5DA2">
        <w:t xml:space="preserve">L’activation du système de la nociception par une lésion de l’organisme </w:t>
      </w:r>
      <w:r>
        <w:t>explique plus de 70% des syndromes douloureux</w:t>
      </w:r>
      <w:r w:rsidR="004F5DA2">
        <w:t> ; l</w:t>
      </w:r>
      <w:r>
        <w:t xml:space="preserve">a lésion peut être causée par le cancer comme par les traitements du cancer. </w:t>
      </w:r>
      <w:r w:rsidR="003238B8">
        <w:t>A</w:t>
      </w:r>
      <w:r w:rsidR="0088165C">
        <w:t>ssoci</w:t>
      </w:r>
      <w:r w:rsidR="003238B8">
        <w:t xml:space="preserve">ée ou non à </w:t>
      </w:r>
      <w:r w:rsidR="0088165C">
        <w:t xml:space="preserve">une douleur nociceptive, </w:t>
      </w:r>
      <w:r w:rsidR="003238B8">
        <w:t xml:space="preserve">la douleur neuropathique est retrouvée </w:t>
      </w:r>
      <w:r w:rsidR="0088165C">
        <w:t>dans environ 30% des cas</w:t>
      </w:r>
      <w:r w:rsidR="00BE2571">
        <w:t>.</w:t>
      </w:r>
      <w:r w:rsidR="00BE2571" w:rsidRPr="00BE2571">
        <w:t xml:space="preserve"> </w:t>
      </w:r>
    </w:p>
    <w:p w14:paraId="32CA57D2" w14:textId="77777777" w:rsidR="00F27063" w:rsidRDefault="00F27063" w:rsidP="004531E3"/>
    <w:p w14:paraId="06961C39" w14:textId="5C1C9D98" w:rsidR="00363C8E" w:rsidRDefault="00D3562D" w:rsidP="00363C8E">
      <w:r>
        <w:t>Face à</w:t>
      </w:r>
      <w:r w:rsidR="00BE2571" w:rsidRPr="00DA7BB1">
        <w:t xml:space="preserve"> la douleur d’origine cancéreuse</w:t>
      </w:r>
      <w:r>
        <w:t>,</w:t>
      </w:r>
      <w:r w:rsidR="00BE2571" w:rsidRPr="00DA7BB1">
        <w:t xml:space="preserve"> </w:t>
      </w:r>
      <w:r>
        <w:t>i</w:t>
      </w:r>
      <w:r w:rsidR="00287A24" w:rsidRPr="00DA7BB1">
        <w:t xml:space="preserve">l est recommandé de privilégier </w:t>
      </w:r>
      <w:r w:rsidR="00531C0B" w:rsidRPr="00DA7BB1">
        <w:t>les voies d’admini</w:t>
      </w:r>
      <w:r w:rsidR="00707986" w:rsidRPr="00DA7BB1">
        <w:t>stration non invasives</w:t>
      </w:r>
      <w:r w:rsidR="00F27063" w:rsidRPr="00DA7BB1">
        <w:t xml:space="preserve"> des antalgiques</w:t>
      </w:r>
      <w:r w:rsidR="00287A24" w:rsidRPr="00DA7BB1">
        <w:t xml:space="preserve">, d’administrer </w:t>
      </w:r>
      <w:r w:rsidR="00F61B98">
        <w:t>c</w:t>
      </w:r>
      <w:r w:rsidR="00287A24" w:rsidRPr="00DA7BB1">
        <w:t xml:space="preserve">es </w:t>
      </w:r>
      <w:r w:rsidR="005C68B8" w:rsidRPr="00DA7BB1">
        <w:t>médicament</w:t>
      </w:r>
      <w:r w:rsidR="00287A24" w:rsidRPr="00DA7BB1">
        <w:t>s à intervalles réguliers pour le traitement de fond</w:t>
      </w:r>
      <w:r>
        <w:t xml:space="preserve"> et </w:t>
      </w:r>
      <w:r w:rsidR="00531C0B" w:rsidRPr="00DA7BB1">
        <w:t>d’associer des antalgiques de mode</w:t>
      </w:r>
      <w:r w:rsidR="00A1086B" w:rsidRPr="00DA7BB1">
        <w:t>s</w:t>
      </w:r>
      <w:r w:rsidR="00531C0B" w:rsidRPr="00DA7BB1">
        <w:t xml:space="preserve"> d’</w:t>
      </w:r>
      <w:r w:rsidR="00707986" w:rsidRPr="00DA7BB1">
        <w:t>ac</w:t>
      </w:r>
      <w:r w:rsidR="00A37034" w:rsidRPr="00DA7BB1">
        <w:t>tio</w:t>
      </w:r>
      <w:r w:rsidR="00707986" w:rsidRPr="00DA7BB1">
        <w:t>n différent</w:t>
      </w:r>
      <w:r w:rsidR="00A1086B" w:rsidRPr="00DA7BB1">
        <w:t>s</w:t>
      </w:r>
      <w:r w:rsidR="00224EE7">
        <w:t>. D</w:t>
      </w:r>
      <w:r w:rsidR="00707986" w:rsidRPr="00DA7BB1">
        <w:t>es traitements adjuvants (tels que biphosphonates, corticoïdes, anxiolytiques, antidépresseurs, antispamodiq</w:t>
      </w:r>
      <w:r w:rsidR="005643F6" w:rsidRPr="00DA7BB1">
        <w:t>ues) peuvent être associé</w:t>
      </w:r>
      <w:r w:rsidR="00707986" w:rsidRPr="00DA7BB1">
        <w:t>s dans certaines situations.</w:t>
      </w:r>
      <w:r w:rsidR="001410D8" w:rsidRPr="00DA7BB1">
        <w:t xml:space="preserve"> </w:t>
      </w:r>
      <w:r w:rsidR="00707986" w:rsidRPr="00DA7BB1">
        <w:t xml:space="preserve">Les douleurs neuropathiques </w:t>
      </w:r>
      <w:r w:rsidR="00DA7BB1">
        <w:t>peuvent nécessiter</w:t>
      </w:r>
      <w:r w:rsidR="00707986" w:rsidRPr="00DA7BB1">
        <w:t xml:space="preserve"> l’a</w:t>
      </w:r>
      <w:r w:rsidR="008A11F2" w:rsidRPr="00DA7BB1">
        <w:t>dministration d</w:t>
      </w:r>
      <w:r w:rsidR="00707986" w:rsidRPr="00DA7BB1">
        <w:t xml:space="preserve">e médicaments spécifiques </w:t>
      </w:r>
      <w:r w:rsidR="008A11F2" w:rsidRPr="00DA7BB1">
        <w:rPr>
          <w:szCs w:val="22"/>
        </w:rPr>
        <w:t>utilisés en monothérapie ou en association (antidépresseurs, anesthésiques locaux, antiépileptiques</w:t>
      </w:r>
      <w:r w:rsidR="008A11F2" w:rsidRPr="00DA7BB1">
        <w:t>)</w:t>
      </w:r>
      <w:r w:rsidR="00707986" w:rsidRPr="00DA7BB1">
        <w:t>.</w:t>
      </w:r>
      <w:r w:rsidR="00DA7BB1">
        <w:t xml:space="preserve"> </w:t>
      </w:r>
      <w:r w:rsidR="00363C8E" w:rsidRPr="00DA7BB1">
        <w:t xml:space="preserve">La gestion pratique </w:t>
      </w:r>
      <w:r w:rsidR="00363C8E">
        <w:t>des médicaments</w:t>
      </w:r>
      <w:r w:rsidR="00714667">
        <w:t xml:space="preserve"> antalgiques</w:t>
      </w:r>
      <w:r w:rsidR="00363C8E">
        <w:t xml:space="preserve"> </w:t>
      </w:r>
      <w:r w:rsidR="005C68B8">
        <w:t xml:space="preserve">repose également </w:t>
      </w:r>
      <w:r w:rsidR="00F61B98">
        <w:t>sur</w:t>
      </w:r>
      <w:r w:rsidR="00363C8E">
        <w:t xml:space="preserve"> la prévention et la correction d</w:t>
      </w:r>
      <w:r w:rsidR="008E7545">
        <w:t>’</w:t>
      </w:r>
      <w:r w:rsidR="00DA7BB1">
        <w:t xml:space="preserve">éventuels </w:t>
      </w:r>
      <w:r w:rsidR="00363C8E">
        <w:t>effets indésirables</w:t>
      </w:r>
      <w:r w:rsidR="00DA7BB1">
        <w:t>,</w:t>
      </w:r>
      <w:r w:rsidR="00363C8E" w:rsidRPr="00366B86">
        <w:t xml:space="preserve"> </w:t>
      </w:r>
      <w:r w:rsidR="00363C8E">
        <w:t>une évaluation régulière de l’efficacité et des effets indésirables</w:t>
      </w:r>
      <w:r w:rsidR="00DA7BB1">
        <w:t xml:space="preserve"> du traitement</w:t>
      </w:r>
      <w:r w:rsidR="00363C8E">
        <w:t xml:space="preserve"> </w:t>
      </w:r>
      <w:r w:rsidR="00442A60">
        <w:t xml:space="preserve">(idéalement toutes les 24-48 h) </w:t>
      </w:r>
      <w:r w:rsidR="00363C8E">
        <w:t>permet</w:t>
      </w:r>
      <w:r w:rsidR="00DA7BB1">
        <w:t xml:space="preserve">tant une </w:t>
      </w:r>
      <w:r w:rsidR="00363C8E">
        <w:t xml:space="preserve">adaptation </w:t>
      </w:r>
      <w:r w:rsidR="00DA7BB1">
        <w:t>personnalisé</w:t>
      </w:r>
      <w:r w:rsidR="00B86BCB">
        <w:t>e</w:t>
      </w:r>
      <w:r w:rsidR="00DA7BB1">
        <w:t xml:space="preserve"> de la prescription</w:t>
      </w:r>
      <w:r w:rsidR="00363C8E">
        <w:t xml:space="preserve">. </w:t>
      </w:r>
      <w:r w:rsidR="00F27063">
        <w:t>D</w:t>
      </w:r>
      <w:r w:rsidR="00363C8E">
        <w:t>ifférents médecins peuvent intervenir au cour</w:t>
      </w:r>
      <w:r w:rsidR="00F27063">
        <w:t>s de ce processus qui</w:t>
      </w:r>
      <w:r w:rsidR="005643F6">
        <w:t xml:space="preserve"> requiert</w:t>
      </w:r>
      <w:r w:rsidR="00363C8E">
        <w:t xml:space="preserve"> une bonne coordination des acteurs.</w:t>
      </w:r>
    </w:p>
    <w:p w14:paraId="759F6FA8" w14:textId="77777777" w:rsidR="00707986" w:rsidRDefault="00707986" w:rsidP="00380B5F">
      <w:pPr>
        <w:autoSpaceDE w:val="0"/>
        <w:autoSpaceDN w:val="0"/>
        <w:adjustRightInd w:val="0"/>
      </w:pPr>
    </w:p>
    <w:p w14:paraId="7D8CADB3" w14:textId="4A636917" w:rsidR="00FF7988" w:rsidRPr="001212A1" w:rsidRDefault="004C0C98" w:rsidP="00380B5F">
      <w:pPr>
        <w:autoSpaceDE w:val="0"/>
        <w:autoSpaceDN w:val="0"/>
        <w:adjustRightInd w:val="0"/>
        <w:rPr>
          <w:rFonts w:cs="Arial"/>
          <w:szCs w:val="22"/>
        </w:rPr>
      </w:pPr>
      <w:r w:rsidRPr="001212A1">
        <w:rPr>
          <w:rFonts w:cs="Arial"/>
          <w:szCs w:val="22"/>
        </w:rPr>
        <w:t xml:space="preserve">En cas de douleur </w:t>
      </w:r>
      <w:r w:rsidR="00D43461">
        <w:rPr>
          <w:rFonts w:cs="Arial"/>
          <w:szCs w:val="22"/>
        </w:rPr>
        <w:t xml:space="preserve">d’origine </w:t>
      </w:r>
      <w:r w:rsidRPr="001212A1">
        <w:rPr>
          <w:rFonts w:cs="Arial"/>
          <w:szCs w:val="22"/>
        </w:rPr>
        <w:t>cancéreuse instable ou difficile à</w:t>
      </w:r>
      <w:r w:rsidR="001212A1">
        <w:rPr>
          <w:rFonts w:cs="Arial"/>
          <w:szCs w:val="22"/>
        </w:rPr>
        <w:t xml:space="preserve"> </w:t>
      </w:r>
      <w:r w:rsidRPr="001212A1">
        <w:rPr>
          <w:rFonts w:cs="Arial"/>
          <w:szCs w:val="22"/>
        </w:rPr>
        <w:t>soulager, il convie</w:t>
      </w:r>
      <w:r w:rsidR="00442A60">
        <w:rPr>
          <w:rFonts w:cs="Arial"/>
          <w:szCs w:val="22"/>
        </w:rPr>
        <w:t>nt</w:t>
      </w:r>
      <w:r w:rsidRPr="001212A1">
        <w:rPr>
          <w:rFonts w:cs="Arial"/>
          <w:szCs w:val="22"/>
        </w:rPr>
        <w:t xml:space="preserve"> de réaliser</w:t>
      </w:r>
      <w:r w:rsidR="00442A60">
        <w:rPr>
          <w:rFonts w:cs="Arial"/>
          <w:szCs w:val="22"/>
        </w:rPr>
        <w:t xml:space="preserve"> </w:t>
      </w:r>
      <w:r w:rsidRPr="001212A1">
        <w:rPr>
          <w:rFonts w:cs="Arial"/>
          <w:szCs w:val="22"/>
        </w:rPr>
        <w:t>une</w:t>
      </w:r>
      <w:r w:rsidR="001212A1">
        <w:rPr>
          <w:rFonts w:cs="Arial"/>
          <w:szCs w:val="22"/>
        </w:rPr>
        <w:t xml:space="preserve"> </w:t>
      </w:r>
      <w:r w:rsidRPr="001212A1">
        <w:rPr>
          <w:rFonts w:cs="Arial"/>
          <w:szCs w:val="22"/>
        </w:rPr>
        <w:t>évaluation approfondie des caractéristiques douloureuses,</w:t>
      </w:r>
      <w:r w:rsidR="001212A1">
        <w:rPr>
          <w:rFonts w:cs="Arial"/>
          <w:szCs w:val="22"/>
        </w:rPr>
        <w:t xml:space="preserve"> </w:t>
      </w:r>
      <w:r w:rsidR="005643F6">
        <w:rPr>
          <w:rFonts w:cs="Arial"/>
          <w:szCs w:val="22"/>
        </w:rPr>
        <w:t xml:space="preserve">et </w:t>
      </w:r>
      <w:r w:rsidR="00D26311">
        <w:rPr>
          <w:rFonts w:cs="Arial"/>
          <w:szCs w:val="22"/>
        </w:rPr>
        <w:t xml:space="preserve">de </w:t>
      </w:r>
      <w:r w:rsidR="005643F6">
        <w:rPr>
          <w:rFonts w:cs="Arial"/>
          <w:szCs w:val="22"/>
        </w:rPr>
        <w:t>rechercher</w:t>
      </w:r>
      <w:r w:rsidRPr="001212A1">
        <w:rPr>
          <w:rFonts w:cs="Arial"/>
          <w:szCs w:val="22"/>
        </w:rPr>
        <w:t xml:space="preserve"> notamment une composante neuropathique, sous-estimée ou nouvellement apparue ; il</w:t>
      </w:r>
      <w:r w:rsidR="001212A1">
        <w:rPr>
          <w:rFonts w:cs="Arial"/>
          <w:szCs w:val="22"/>
        </w:rPr>
        <w:t xml:space="preserve"> </w:t>
      </w:r>
      <w:r w:rsidRPr="001212A1">
        <w:rPr>
          <w:rFonts w:cs="Arial"/>
          <w:szCs w:val="22"/>
        </w:rPr>
        <w:t>fau</w:t>
      </w:r>
      <w:r w:rsidR="00442A60">
        <w:rPr>
          <w:rFonts w:cs="Arial"/>
          <w:szCs w:val="22"/>
        </w:rPr>
        <w:t>t</w:t>
      </w:r>
      <w:r w:rsidRPr="001212A1">
        <w:rPr>
          <w:rFonts w:cs="Arial"/>
          <w:szCs w:val="22"/>
        </w:rPr>
        <w:t xml:space="preserve"> vérifier si le traitement en cours est</w:t>
      </w:r>
      <w:r w:rsidR="001212A1">
        <w:rPr>
          <w:rFonts w:cs="Arial"/>
          <w:szCs w:val="22"/>
        </w:rPr>
        <w:t xml:space="preserve"> </w:t>
      </w:r>
      <w:r w:rsidRPr="001212A1">
        <w:rPr>
          <w:rFonts w:cs="Arial"/>
          <w:szCs w:val="22"/>
        </w:rPr>
        <w:t>adapté et prescrit à posologies adéquates</w:t>
      </w:r>
      <w:r w:rsidR="001212A1">
        <w:rPr>
          <w:rFonts w:cs="Arial"/>
          <w:szCs w:val="22"/>
        </w:rPr>
        <w:t>, et refaire un bilan étio</w:t>
      </w:r>
      <w:r w:rsidRPr="001212A1">
        <w:rPr>
          <w:rFonts w:cs="Arial"/>
          <w:szCs w:val="22"/>
        </w:rPr>
        <w:t>logique d’extension de la maladie cancéreuse, en cas de</w:t>
      </w:r>
      <w:r w:rsidR="001212A1">
        <w:rPr>
          <w:rFonts w:cs="Arial"/>
          <w:szCs w:val="22"/>
        </w:rPr>
        <w:t xml:space="preserve"> </w:t>
      </w:r>
      <w:r w:rsidRPr="001212A1">
        <w:rPr>
          <w:rFonts w:cs="Arial"/>
          <w:szCs w:val="22"/>
        </w:rPr>
        <w:t>modification récente et/ou rapide de la symptomatologie</w:t>
      </w:r>
      <w:r w:rsidR="001212A1">
        <w:rPr>
          <w:rFonts w:cs="Arial"/>
          <w:szCs w:val="22"/>
        </w:rPr>
        <w:t xml:space="preserve"> </w:t>
      </w:r>
      <w:r w:rsidRPr="001212A1">
        <w:rPr>
          <w:rFonts w:cs="Arial"/>
          <w:szCs w:val="22"/>
        </w:rPr>
        <w:t>douloureuse. Il fau</w:t>
      </w:r>
      <w:r w:rsidR="00442A60">
        <w:rPr>
          <w:rFonts w:cs="Arial"/>
          <w:szCs w:val="22"/>
        </w:rPr>
        <w:t>t</w:t>
      </w:r>
      <w:r w:rsidRPr="001212A1">
        <w:rPr>
          <w:rFonts w:cs="Arial"/>
          <w:szCs w:val="22"/>
        </w:rPr>
        <w:t xml:space="preserve"> aussi </w:t>
      </w:r>
      <w:r w:rsidR="001212A1">
        <w:rPr>
          <w:rFonts w:cs="Arial"/>
          <w:szCs w:val="22"/>
        </w:rPr>
        <w:t>s’assurer que les effets indési</w:t>
      </w:r>
      <w:r w:rsidRPr="001212A1">
        <w:rPr>
          <w:rFonts w:cs="Arial"/>
          <w:szCs w:val="22"/>
        </w:rPr>
        <w:t>rables observés (nausées, vomissements, somnolence, arrêt</w:t>
      </w:r>
      <w:r w:rsidR="001212A1">
        <w:rPr>
          <w:rFonts w:cs="Arial"/>
          <w:szCs w:val="22"/>
        </w:rPr>
        <w:t xml:space="preserve"> </w:t>
      </w:r>
      <w:r w:rsidRPr="001212A1">
        <w:rPr>
          <w:rFonts w:cs="Arial"/>
          <w:szCs w:val="22"/>
        </w:rPr>
        <w:t>du transit, troubles cognitif</w:t>
      </w:r>
      <w:r w:rsidR="001212A1">
        <w:rPr>
          <w:rFonts w:cs="Arial"/>
          <w:szCs w:val="22"/>
        </w:rPr>
        <w:t>s, etc.) sont bien liés au trai</w:t>
      </w:r>
      <w:r w:rsidR="005643F6">
        <w:rPr>
          <w:rFonts w:cs="Arial"/>
          <w:szCs w:val="22"/>
        </w:rPr>
        <w:t>tement opioïde en cours, et éliminer</w:t>
      </w:r>
      <w:r w:rsidRPr="001212A1">
        <w:rPr>
          <w:rFonts w:cs="Arial"/>
          <w:szCs w:val="22"/>
        </w:rPr>
        <w:t xml:space="preserve"> les autres étiologies potentielles (hypertension </w:t>
      </w:r>
      <w:r w:rsidR="001212A1">
        <w:rPr>
          <w:rFonts w:cs="Arial"/>
          <w:szCs w:val="22"/>
        </w:rPr>
        <w:t>intracrânienne, occlusion diges</w:t>
      </w:r>
      <w:r w:rsidRPr="001212A1">
        <w:rPr>
          <w:rFonts w:cs="Arial"/>
          <w:szCs w:val="22"/>
        </w:rPr>
        <w:t>tive maligne, hypercalcémie, insuffisance rénale, etc.).</w:t>
      </w:r>
    </w:p>
    <w:p w14:paraId="290FBB81" w14:textId="77777777" w:rsidR="00A1086B" w:rsidRDefault="00A1086B" w:rsidP="00380B5F">
      <w:pPr>
        <w:autoSpaceDE w:val="0"/>
        <w:autoSpaceDN w:val="0"/>
        <w:adjustRightInd w:val="0"/>
        <w:rPr>
          <w:rFonts w:cs="Arial"/>
          <w:szCs w:val="22"/>
        </w:rPr>
      </w:pPr>
    </w:p>
    <w:p w14:paraId="0DB5FCDB" w14:textId="15D302D5" w:rsidR="00A1086B" w:rsidRPr="0092095B" w:rsidRDefault="00A1086B" w:rsidP="00A1086B">
      <w:pPr>
        <w:pStyle w:val="PrformatHTML"/>
        <w:jc w:val="both"/>
        <w:rPr>
          <w:rFonts w:ascii="Arial" w:hAnsi="Arial" w:cs="Arial"/>
          <w:sz w:val="22"/>
          <w:szCs w:val="22"/>
        </w:rPr>
      </w:pPr>
      <w:r w:rsidRPr="0092095B">
        <w:rPr>
          <w:rFonts w:ascii="Arial" w:hAnsi="Arial" w:cs="Arial"/>
          <w:color w:val="222222"/>
          <w:sz w:val="22"/>
          <w:szCs w:val="22"/>
        </w:rPr>
        <w:t xml:space="preserve">Au cours des 20 dernières années, la rotation des opioïdes est devenue une pratique courante pour optimiser la gestion de la douleur dans de nombreux domaines de la médecine incluant l’oncologie, les soins postopératoires et les soins </w:t>
      </w:r>
      <w:r w:rsidRPr="0092095B">
        <w:rPr>
          <w:rFonts w:ascii="Arial" w:hAnsi="Arial" w:cs="Arial"/>
          <w:sz w:val="22"/>
          <w:szCs w:val="22"/>
        </w:rPr>
        <w:t>palliatifs. Ce changement d’opioïde se justifie en cas d’effets indésirables intolérables et</w:t>
      </w:r>
      <w:r w:rsidR="002E5E1C" w:rsidRPr="0092095B">
        <w:rPr>
          <w:rFonts w:ascii="Arial" w:hAnsi="Arial" w:cs="Arial"/>
          <w:sz w:val="22"/>
          <w:szCs w:val="22"/>
        </w:rPr>
        <w:t>/ou</w:t>
      </w:r>
      <w:r w:rsidRPr="0092095B">
        <w:rPr>
          <w:rFonts w:ascii="Arial" w:hAnsi="Arial" w:cs="Arial"/>
          <w:sz w:val="22"/>
          <w:szCs w:val="22"/>
        </w:rPr>
        <w:t xml:space="preserve"> incontrôlables </w:t>
      </w:r>
      <w:r w:rsidRPr="0092095B">
        <w:rPr>
          <w:rFonts w:ascii="Arial" w:hAnsi="Arial" w:cs="Arial"/>
          <w:color w:val="222222"/>
          <w:sz w:val="22"/>
          <w:szCs w:val="22"/>
        </w:rPr>
        <w:t xml:space="preserve">tels que nausées, vomissements, constipation, rétention urinaire aiguë, myoclonies, dépression respiratoire, sédation, troubles de fonctions cognitives (y compris hallucinations, cauchemars, agitation). La rotation des opioïdes est également particulièrement utile si le patient devient tolérant à un opioïde donné, développe une hyperalgésie ou ne peut plus atteindre un contrôle suffisant de la douleur. </w:t>
      </w:r>
      <w:r w:rsidR="005643F6">
        <w:rPr>
          <w:rFonts w:ascii="Arial" w:hAnsi="Arial" w:cs="Arial"/>
          <w:color w:val="222222"/>
          <w:sz w:val="22"/>
          <w:szCs w:val="22"/>
        </w:rPr>
        <w:t>Elle</w:t>
      </w:r>
      <w:r w:rsidRPr="0092095B">
        <w:rPr>
          <w:rFonts w:ascii="Arial" w:hAnsi="Arial" w:cs="Arial"/>
          <w:color w:val="222222"/>
          <w:sz w:val="22"/>
          <w:szCs w:val="22"/>
        </w:rPr>
        <w:t xml:space="preserve"> peut être indiquée lors d’un changement de l'état clinique du patient, tel qu’une insuffisance rénale, une insuffisance hépatique, de la fièvre et </w:t>
      </w:r>
      <w:r w:rsidR="005643F6">
        <w:rPr>
          <w:rFonts w:ascii="Arial" w:hAnsi="Arial" w:cs="Arial"/>
          <w:color w:val="222222"/>
          <w:sz w:val="22"/>
          <w:szCs w:val="22"/>
        </w:rPr>
        <w:t>d’</w:t>
      </w:r>
      <w:r w:rsidRPr="0092095B">
        <w:rPr>
          <w:rFonts w:ascii="Arial" w:hAnsi="Arial" w:cs="Arial"/>
          <w:color w:val="222222"/>
          <w:sz w:val="22"/>
          <w:szCs w:val="22"/>
        </w:rPr>
        <w:t xml:space="preserve">autres troubles pouvant altérer la pharmacocinétique ou le métabolisme des médicaments opioïdes. </w:t>
      </w:r>
    </w:p>
    <w:p w14:paraId="57862FA4" w14:textId="7B289CD1" w:rsidR="00D431DF" w:rsidRPr="00F157A3" w:rsidRDefault="00D431DF" w:rsidP="00CC72B5">
      <w:pPr>
        <w:autoSpaceDE w:val="0"/>
        <w:autoSpaceDN w:val="0"/>
        <w:adjustRightInd w:val="0"/>
        <w:rPr>
          <w:rFonts w:cs="Arial"/>
          <w:szCs w:val="22"/>
        </w:rPr>
      </w:pPr>
      <w:r w:rsidRPr="00F157A3">
        <w:rPr>
          <w:rFonts w:cs="Arial"/>
          <w:szCs w:val="22"/>
        </w:rPr>
        <w:t xml:space="preserve">Parfois, </w:t>
      </w:r>
      <w:r w:rsidR="007B248F">
        <w:rPr>
          <w:rFonts w:cs="Arial"/>
          <w:szCs w:val="22"/>
        </w:rPr>
        <w:t xml:space="preserve">seul </w:t>
      </w:r>
      <w:r w:rsidRPr="00F157A3">
        <w:rPr>
          <w:rFonts w:cs="Arial"/>
          <w:szCs w:val="22"/>
        </w:rPr>
        <w:t>un changement de voie</w:t>
      </w:r>
      <w:r w:rsidR="007B248F">
        <w:rPr>
          <w:rFonts w:cs="Arial"/>
          <w:szCs w:val="22"/>
        </w:rPr>
        <w:t xml:space="preserve"> </w:t>
      </w:r>
      <w:r w:rsidRPr="00F157A3">
        <w:rPr>
          <w:rFonts w:cs="Arial"/>
          <w:szCs w:val="22"/>
        </w:rPr>
        <w:t xml:space="preserve">d’administration de l’opioïde en cours </w:t>
      </w:r>
      <w:r w:rsidR="007B248F">
        <w:rPr>
          <w:rFonts w:cs="Arial"/>
          <w:szCs w:val="22"/>
        </w:rPr>
        <w:t>est proposé, pour faci</w:t>
      </w:r>
      <w:r w:rsidR="007B248F" w:rsidRPr="00F157A3">
        <w:rPr>
          <w:rFonts w:cs="Arial"/>
          <w:szCs w:val="22"/>
        </w:rPr>
        <w:t>liter le retour à domicile, en cas de changement de</w:t>
      </w:r>
      <w:r w:rsidR="007B248F">
        <w:rPr>
          <w:rFonts w:cs="Arial"/>
          <w:szCs w:val="22"/>
        </w:rPr>
        <w:t xml:space="preserve"> </w:t>
      </w:r>
      <w:r w:rsidR="007B248F" w:rsidRPr="00F157A3">
        <w:rPr>
          <w:rFonts w:cs="Arial"/>
          <w:szCs w:val="22"/>
        </w:rPr>
        <w:t>situation clinique du patient</w:t>
      </w:r>
      <w:r w:rsidR="007B248F">
        <w:rPr>
          <w:rFonts w:cs="Arial"/>
          <w:szCs w:val="22"/>
        </w:rPr>
        <w:t xml:space="preserve"> ou </w:t>
      </w:r>
      <w:r w:rsidR="007B248F" w:rsidRPr="00F157A3">
        <w:rPr>
          <w:rFonts w:cs="Arial"/>
          <w:szCs w:val="22"/>
        </w:rPr>
        <w:t>en situation</w:t>
      </w:r>
      <w:r w:rsidR="007B248F">
        <w:rPr>
          <w:rFonts w:cs="Arial"/>
          <w:szCs w:val="22"/>
        </w:rPr>
        <w:t xml:space="preserve"> </w:t>
      </w:r>
      <w:r w:rsidR="007B248F" w:rsidRPr="00F157A3">
        <w:rPr>
          <w:rFonts w:cs="Arial"/>
          <w:szCs w:val="22"/>
        </w:rPr>
        <w:t>de cachexie terminale.</w:t>
      </w:r>
    </w:p>
    <w:p w14:paraId="3EC402D3" w14:textId="77777777" w:rsidR="00D431DF" w:rsidRDefault="00D431DF" w:rsidP="00CC72B5">
      <w:pPr>
        <w:autoSpaceDE w:val="0"/>
        <w:autoSpaceDN w:val="0"/>
        <w:adjustRightInd w:val="0"/>
        <w:rPr>
          <w:szCs w:val="22"/>
        </w:rPr>
      </w:pPr>
    </w:p>
    <w:p w14:paraId="42914030" w14:textId="669B5C7D" w:rsidR="00D431DF" w:rsidRDefault="00D431DF" w:rsidP="00CC72B5">
      <w:pPr>
        <w:autoSpaceDE w:val="0"/>
        <w:autoSpaceDN w:val="0"/>
        <w:adjustRightInd w:val="0"/>
        <w:rPr>
          <w:rFonts w:cs="Arial"/>
          <w:szCs w:val="22"/>
        </w:rPr>
      </w:pPr>
      <w:r w:rsidRPr="00EC50F8">
        <w:rPr>
          <w:rFonts w:cs="Arial"/>
          <w:szCs w:val="22"/>
        </w:rPr>
        <w:t xml:space="preserve">L’antalgie autocontrôlée par le patient (ou </w:t>
      </w:r>
      <w:r w:rsidRPr="00EC50F8">
        <w:rPr>
          <w:rFonts w:cs="Arial"/>
          <w:i/>
          <w:iCs/>
          <w:szCs w:val="22"/>
        </w:rPr>
        <w:t xml:space="preserve">patient-controlled analgesia </w:t>
      </w:r>
      <w:r w:rsidRPr="00EC50F8">
        <w:rPr>
          <w:rFonts w:cs="Arial"/>
          <w:szCs w:val="22"/>
        </w:rPr>
        <w:t>[PCA]) est une technique qui permet</w:t>
      </w:r>
      <w:r w:rsidR="00EC50F8">
        <w:rPr>
          <w:rFonts w:cs="Arial"/>
          <w:szCs w:val="22"/>
        </w:rPr>
        <w:t xml:space="preserve"> </w:t>
      </w:r>
      <w:r w:rsidRPr="00EC50F8">
        <w:rPr>
          <w:rFonts w:cs="Arial"/>
          <w:szCs w:val="22"/>
        </w:rPr>
        <w:t>au malade de s’auto-administrer</w:t>
      </w:r>
      <w:r w:rsidR="00EC50F8">
        <w:rPr>
          <w:rFonts w:cs="Arial"/>
          <w:szCs w:val="22"/>
        </w:rPr>
        <w:t xml:space="preserve"> à l’aide d’une pompe pro</w:t>
      </w:r>
      <w:r w:rsidRPr="00EC50F8">
        <w:rPr>
          <w:rFonts w:cs="Arial"/>
          <w:szCs w:val="22"/>
        </w:rPr>
        <w:t>grammable des doses prédéterminées d’antalgique</w:t>
      </w:r>
      <w:r w:rsidR="00AA145C">
        <w:rPr>
          <w:rFonts w:cs="Arial"/>
          <w:szCs w:val="22"/>
        </w:rPr>
        <w:t>s</w:t>
      </w:r>
      <w:r w:rsidRPr="00EC50F8">
        <w:rPr>
          <w:rFonts w:cs="Arial"/>
          <w:szCs w:val="22"/>
        </w:rPr>
        <w:t xml:space="preserve"> par voie</w:t>
      </w:r>
      <w:r w:rsidR="00EC50F8">
        <w:rPr>
          <w:rFonts w:cs="Arial"/>
          <w:szCs w:val="22"/>
        </w:rPr>
        <w:t xml:space="preserve"> </w:t>
      </w:r>
      <w:r w:rsidRPr="00EC50F8">
        <w:rPr>
          <w:rFonts w:cs="Arial"/>
          <w:szCs w:val="22"/>
        </w:rPr>
        <w:t>parentérale (intraveineuse ou sous-cutanée).</w:t>
      </w:r>
      <w:r w:rsidR="00EC50F8">
        <w:rPr>
          <w:rFonts w:cs="Arial"/>
          <w:szCs w:val="22"/>
        </w:rPr>
        <w:t xml:space="preserve"> </w:t>
      </w:r>
      <w:r w:rsidRPr="00EC50F8">
        <w:rPr>
          <w:rFonts w:cs="Arial"/>
          <w:szCs w:val="22"/>
        </w:rPr>
        <w:t xml:space="preserve">Les principales indications d’antalgie autocontrôlée sont </w:t>
      </w:r>
      <w:r w:rsidR="00EC50F8">
        <w:rPr>
          <w:rFonts w:cs="Arial"/>
          <w:szCs w:val="22"/>
        </w:rPr>
        <w:t>les</w:t>
      </w:r>
      <w:r w:rsidRPr="00EC50F8">
        <w:rPr>
          <w:rFonts w:cs="Arial"/>
          <w:szCs w:val="22"/>
        </w:rPr>
        <w:t xml:space="preserve"> accès douloure</w:t>
      </w:r>
      <w:r w:rsidR="00EC50F8">
        <w:rPr>
          <w:rFonts w:cs="Arial"/>
          <w:szCs w:val="22"/>
        </w:rPr>
        <w:t>ux paroxystiques fréquents, les dif</w:t>
      </w:r>
      <w:r w:rsidRPr="00EC50F8">
        <w:rPr>
          <w:rFonts w:cs="Arial"/>
          <w:szCs w:val="22"/>
        </w:rPr>
        <w:t>ficultés à poursuivre un traitement morphinique oral ou</w:t>
      </w:r>
      <w:r w:rsidR="00EC50F8">
        <w:rPr>
          <w:rFonts w:cs="Arial"/>
          <w:szCs w:val="22"/>
        </w:rPr>
        <w:t xml:space="preserve"> </w:t>
      </w:r>
      <w:r w:rsidRPr="00EC50F8">
        <w:rPr>
          <w:rFonts w:cs="Arial"/>
          <w:szCs w:val="22"/>
        </w:rPr>
        <w:t xml:space="preserve">transdermique, la voie </w:t>
      </w:r>
      <w:r w:rsidR="00EC50F8">
        <w:rPr>
          <w:rFonts w:cs="Arial"/>
          <w:szCs w:val="22"/>
        </w:rPr>
        <w:t>d’administration devenant impos</w:t>
      </w:r>
      <w:r w:rsidRPr="00EC50F8">
        <w:rPr>
          <w:rFonts w:cs="Arial"/>
          <w:szCs w:val="22"/>
        </w:rPr>
        <w:t>sible ou inadaptée</w:t>
      </w:r>
      <w:r w:rsidR="00EF2961" w:rsidRPr="00EC50F8">
        <w:rPr>
          <w:rFonts w:cs="Arial"/>
          <w:szCs w:val="22"/>
        </w:rPr>
        <w:t>.</w:t>
      </w:r>
    </w:p>
    <w:p w14:paraId="17846B1C" w14:textId="000C7EDF" w:rsidR="002A2EA2" w:rsidRPr="00EC50F8" w:rsidRDefault="00D03AC4" w:rsidP="00CC72B5">
      <w:pPr>
        <w:autoSpaceDE w:val="0"/>
        <w:autoSpaceDN w:val="0"/>
        <w:adjustRightInd w:val="0"/>
        <w:rPr>
          <w:rFonts w:cs="Arial"/>
          <w:szCs w:val="22"/>
        </w:rPr>
      </w:pPr>
      <w:r>
        <w:t xml:space="preserve">Les </w:t>
      </w:r>
      <w:r w:rsidR="00123D75">
        <w:t>blocs</w:t>
      </w:r>
      <w:r w:rsidR="002A2EA2">
        <w:t xml:space="preserve"> neurolytiques du système nerveux sympathique peuvent avoir une place</w:t>
      </w:r>
      <w:r w:rsidR="009A3BFE">
        <w:t xml:space="preserve"> </w:t>
      </w:r>
      <w:r w:rsidR="005643F6">
        <w:t xml:space="preserve">précocement </w:t>
      </w:r>
      <w:r w:rsidR="002A2EA2">
        <w:t>dans l’arsenal thérapeutique des douleurs d’origine cancéreuse</w:t>
      </w:r>
      <w:r>
        <w:t xml:space="preserve"> (pancréas, petit bassin).</w:t>
      </w:r>
      <w:r w:rsidR="008D1C62">
        <w:rPr>
          <w:rStyle w:val="Appelnotedebasdep"/>
          <w:rFonts w:cs="Arial"/>
          <w:color w:val="000000"/>
          <w:szCs w:val="22"/>
        </w:rPr>
        <w:footnoteReference w:id="8"/>
      </w:r>
    </w:p>
    <w:p w14:paraId="4901E2BE" w14:textId="77777777" w:rsidR="005D23CC" w:rsidRPr="00EA50C2" w:rsidRDefault="005D23CC" w:rsidP="00EA50C2"/>
    <w:p w14:paraId="4DF37B7C" w14:textId="77777777" w:rsidR="001410D8" w:rsidRDefault="00EF2961" w:rsidP="00EF2961">
      <w:pPr>
        <w:rPr>
          <w:rFonts w:cs="Arial"/>
          <w:color w:val="FF0000"/>
          <w:szCs w:val="22"/>
          <w:shd w:val="clear" w:color="auto" w:fill="FFFFFF"/>
        </w:rPr>
      </w:pPr>
      <w:r w:rsidRPr="00956957">
        <w:rPr>
          <w:rFonts w:cs="Arial"/>
          <w:szCs w:val="22"/>
          <w:shd w:val="clear" w:color="auto" w:fill="FFFFFF"/>
        </w:rPr>
        <w:t xml:space="preserve">En cas de douleurs rebelles persistantes après rotation des opioïdes, ou changement de voie </w:t>
      </w:r>
      <w:r w:rsidRPr="00F157A3">
        <w:rPr>
          <w:rFonts w:cs="Arial"/>
          <w:szCs w:val="22"/>
          <w:shd w:val="clear" w:color="auto" w:fill="FFFFFF"/>
        </w:rPr>
        <w:t>d’administration, voire utilisation de l’antalgie autocontrôlée, on aura recours à des alternatives thérapeutiques</w:t>
      </w:r>
      <w:r w:rsidR="001410D8">
        <w:rPr>
          <w:rFonts w:cs="Arial"/>
          <w:szCs w:val="22"/>
          <w:shd w:val="clear" w:color="auto" w:fill="FFFFFF"/>
        </w:rPr>
        <w:t>.</w:t>
      </w:r>
      <w:r w:rsidRPr="00F157A3">
        <w:rPr>
          <w:rFonts w:cs="Arial"/>
          <w:szCs w:val="22"/>
          <w:shd w:val="clear" w:color="auto" w:fill="FFFFFF"/>
        </w:rPr>
        <w:t xml:space="preserve"> </w:t>
      </w:r>
      <w:r w:rsidR="001410D8">
        <w:rPr>
          <w:rFonts w:cs="Arial"/>
          <w:szCs w:val="22"/>
        </w:rPr>
        <w:t>La kétamine, anesthésique à forte dose et antalgique à faible dose, peut être utilisée en association avec les opioïdes forts dans les douleurs cancéreuses rebelles.</w:t>
      </w:r>
      <w:r w:rsidRPr="00EF2961">
        <w:rPr>
          <w:rFonts w:cs="Arial"/>
          <w:color w:val="FF0000"/>
          <w:szCs w:val="22"/>
          <w:shd w:val="clear" w:color="auto" w:fill="FFFFFF"/>
        </w:rPr>
        <w:t xml:space="preserve"> </w:t>
      </w:r>
    </w:p>
    <w:p w14:paraId="3533FECB" w14:textId="01180102" w:rsidR="00F36355" w:rsidRPr="00424E12" w:rsidRDefault="001410D8" w:rsidP="008D1C62">
      <w:pPr>
        <w:rPr>
          <w:rFonts w:cs="Arial"/>
          <w:szCs w:val="22"/>
        </w:rPr>
      </w:pPr>
      <w:r>
        <w:rPr>
          <w:rFonts w:cs="Arial"/>
          <w:szCs w:val="22"/>
          <w:shd w:val="clear" w:color="auto" w:fill="FFFFFF"/>
        </w:rPr>
        <w:t>L</w:t>
      </w:r>
      <w:r w:rsidR="00EF2961" w:rsidRPr="00956957">
        <w:rPr>
          <w:rFonts w:cs="Arial"/>
          <w:szCs w:val="22"/>
          <w:shd w:val="clear" w:color="auto" w:fill="FFFFFF"/>
        </w:rPr>
        <w:t xml:space="preserve">es techniques d’analgésie locorégionale notamment la morphine intrathécale </w:t>
      </w:r>
      <w:r w:rsidR="002A2EA2">
        <w:rPr>
          <w:rFonts w:cs="Arial"/>
          <w:szCs w:val="22"/>
          <w:shd w:val="clear" w:color="auto" w:fill="FFFFFF"/>
        </w:rPr>
        <w:t>(</w:t>
      </w:r>
      <w:r w:rsidR="00EF2961" w:rsidRPr="00956957">
        <w:rPr>
          <w:rFonts w:cs="Arial"/>
          <w:szCs w:val="22"/>
          <w:shd w:val="clear" w:color="auto" w:fill="FFFFFF"/>
        </w:rPr>
        <w:t>éventuellement associée aux anesthésiques locaux</w:t>
      </w:r>
      <w:r w:rsidR="00F36355">
        <w:rPr>
          <w:rFonts w:cs="Arial"/>
          <w:szCs w:val="22"/>
          <w:shd w:val="clear" w:color="auto" w:fill="FFFFFF"/>
        </w:rPr>
        <w:t>)</w:t>
      </w:r>
      <w:r w:rsidR="00473500">
        <w:rPr>
          <w:rFonts w:cs="Arial"/>
          <w:szCs w:val="22"/>
          <w:shd w:val="clear" w:color="auto" w:fill="FFFFFF"/>
        </w:rPr>
        <w:t>,</w:t>
      </w:r>
      <w:r w:rsidR="00EF5824">
        <w:rPr>
          <w:rFonts w:cs="Arial"/>
          <w:szCs w:val="22"/>
          <w:shd w:val="clear" w:color="auto" w:fill="FFFFFF"/>
        </w:rPr>
        <w:t xml:space="preserve"> </w:t>
      </w:r>
      <w:r w:rsidR="00F36355" w:rsidRPr="00206FED">
        <w:rPr>
          <w:rFonts w:cs="Arial"/>
          <w:szCs w:val="22"/>
          <w:shd w:val="clear" w:color="auto" w:fill="FFFFFF"/>
        </w:rPr>
        <w:t xml:space="preserve">le </w:t>
      </w:r>
      <w:r w:rsidR="00EF2961" w:rsidRPr="00206FED">
        <w:rPr>
          <w:rFonts w:cs="Arial"/>
          <w:szCs w:val="22"/>
          <w:shd w:val="clear" w:color="auto" w:fill="FFFFFF"/>
        </w:rPr>
        <w:t>zi</w:t>
      </w:r>
      <w:r w:rsidR="00206FED" w:rsidRPr="00206FED">
        <w:rPr>
          <w:rFonts w:cs="Arial"/>
          <w:szCs w:val="22"/>
          <w:shd w:val="clear" w:color="auto" w:fill="FFFFFF"/>
        </w:rPr>
        <w:t>c</w:t>
      </w:r>
      <w:r w:rsidR="00EF2961" w:rsidRPr="00206FED">
        <w:rPr>
          <w:rFonts w:cs="Arial"/>
          <w:szCs w:val="22"/>
          <w:shd w:val="clear" w:color="auto" w:fill="FFFFFF"/>
        </w:rPr>
        <w:t>o</w:t>
      </w:r>
      <w:r w:rsidR="00206FED" w:rsidRPr="00206FED">
        <w:rPr>
          <w:rFonts w:cs="Arial"/>
          <w:szCs w:val="22"/>
          <w:shd w:val="clear" w:color="auto" w:fill="FFFFFF"/>
        </w:rPr>
        <w:t>n</w:t>
      </w:r>
      <w:r w:rsidR="00EF2961" w:rsidRPr="00206FED">
        <w:rPr>
          <w:rFonts w:cs="Arial"/>
          <w:szCs w:val="22"/>
          <w:shd w:val="clear" w:color="auto" w:fill="FFFFFF"/>
        </w:rPr>
        <w:t>otide</w:t>
      </w:r>
      <w:r w:rsidR="00F36355" w:rsidRPr="00206FED">
        <w:rPr>
          <w:rStyle w:val="Appelnotedebasdep"/>
          <w:rFonts w:cs="Arial"/>
          <w:szCs w:val="22"/>
        </w:rPr>
        <w:footnoteReference w:id="9"/>
      </w:r>
      <w:r w:rsidR="00F36355" w:rsidRPr="00206FED">
        <w:rPr>
          <w:rFonts w:cs="Arial"/>
          <w:szCs w:val="22"/>
          <w:shd w:val="clear" w:color="auto" w:fill="FFFFFF"/>
        </w:rPr>
        <w:t xml:space="preserve"> </w:t>
      </w:r>
      <w:r w:rsidR="00EF5824">
        <w:rPr>
          <w:rFonts w:cs="Arial"/>
          <w:szCs w:val="22"/>
          <w:shd w:val="clear" w:color="auto" w:fill="FFFFFF"/>
        </w:rPr>
        <w:t>en cas d’échec</w:t>
      </w:r>
      <w:r w:rsidR="00012B98">
        <w:rPr>
          <w:rFonts w:cs="Arial"/>
          <w:szCs w:val="22"/>
          <w:shd w:val="clear" w:color="auto" w:fill="FFFFFF"/>
        </w:rPr>
        <w:t xml:space="preserve">, voire </w:t>
      </w:r>
      <w:r w:rsidR="00473500">
        <w:rPr>
          <w:rFonts w:cs="Arial"/>
          <w:szCs w:val="22"/>
          <w:shd w:val="clear" w:color="auto" w:fill="FFFFFF"/>
        </w:rPr>
        <w:t>l</w:t>
      </w:r>
      <w:r w:rsidR="00012B98">
        <w:rPr>
          <w:rFonts w:cs="Arial"/>
          <w:szCs w:val="22"/>
          <w:shd w:val="clear" w:color="auto" w:fill="FFFFFF"/>
        </w:rPr>
        <w:t>es</w:t>
      </w:r>
      <w:r w:rsidR="00EF5824">
        <w:rPr>
          <w:rFonts w:cs="Arial"/>
          <w:szCs w:val="22"/>
          <w:shd w:val="clear" w:color="auto" w:fill="FFFFFF"/>
        </w:rPr>
        <w:t xml:space="preserve"> </w:t>
      </w:r>
      <w:r w:rsidR="00012B98">
        <w:t>blocs analgésiques périphériques</w:t>
      </w:r>
      <w:r w:rsidR="00AE78DC">
        <w:t>,</w:t>
      </w:r>
      <w:r w:rsidR="00012B98">
        <w:t xml:space="preserve"> </w:t>
      </w:r>
      <w:r w:rsidR="00F36355">
        <w:rPr>
          <w:rFonts w:cs="Arial"/>
          <w:szCs w:val="22"/>
          <w:shd w:val="clear" w:color="auto" w:fill="FFFFFF"/>
        </w:rPr>
        <w:t>pourr</w:t>
      </w:r>
      <w:r w:rsidR="002A2EA2">
        <w:rPr>
          <w:rFonts w:cs="Arial"/>
          <w:szCs w:val="22"/>
          <w:shd w:val="clear" w:color="auto" w:fill="FFFFFF"/>
        </w:rPr>
        <w:t xml:space="preserve">ont </w:t>
      </w:r>
      <w:r w:rsidR="00F36355">
        <w:rPr>
          <w:rFonts w:cs="Arial"/>
          <w:szCs w:val="22"/>
          <w:shd w:val="clear" w:color="auto" w:fill="FFFFFF"/>
        </w:rPr>
        <w:t xml:space="preserve">être </w:t>
      </w:r>
      <w:r w:rsidR="002A2EA2">
        <w:rPr>
          <w:rFonts w:cs="Arial"/>
          <w:szCs w:val="22"/>
          <w:shd w:val="clear" w:color="auto" w:fill="FFFFFF"/>
        </w:rPr>
        <w:t>envisagées.</w:t>
      </w:r>
      <w:r w:rsidR="00EF2961" w:rsidRPr="00956957">
        <w:rPr>
          <w:rFonts w:cs="Arial"/>
          <w:szCs w:val="22"/>
          <w:shd w:val="clear" w:color="auto" w:fill="FFFFFF"/>
        </w:rPr>
        <w:t xml:space="preserve"> </w:t>
      </w:r>
      <w:r w:rsidR="00F36355">
        <w:rPr>
          <w:rFonts w:cs="Arial"/>
          <w:color w:val="000000"/>
          <w:szCs w:val="22"/>
        </w:rPr>
        <w:t>Des thérapeutiques radiologiques interventionnelles (neurochirurgicales ou de neurostimulation) à visée curative et/ou palliative antalgique peuvent être proposées</w:t>
      </w:r>
      <w:r w:rsidR="00F36355" w:rsidRPr="00424E12">
        <w:rPr>
          <w:rFonts w:cs="Arial"/>
          <w:szCs w:val="22"/>
        </w:rPr>
        <w:t>. L</w:t>
      </w:r>
      <w:r w:rsidR="00F36355" w:rsidRPr="00424E12">
        <w:rPr>
          <w:rFonts w:cs="Arial"/>
          <w:szCs w:val="22"/>
          <w:shd w:val="clear" w:color="auto" w:fill="FFFFFF"/>
        </w:rPr>
        <w:t>a place respective de ces techniques invasives dans l’arsenal thérapeutique reste à préciser.</w:t>
      </w:r>
    </w:p>
    <w:p w14:paraId="5A765D96" w14:textId="77777777" w:rsidR="00495EC5" w:rsidRDefault="00495EC5" w:rsidP="00495EC5"/>
    <w:p w14:paraId="7106D692" w14:textId="1B83F9B7" w:rsidR="000B7A12" w:rsidRDefault="00AE78DC" w:rsidP="00E809E2">
      <w:pPr>
        <w:autoSpaceDE w:val="0"/>
        <w:autoSpaceDN w:val="0"/>
        <w:adjustRightInd w:val="0"/>
        <w:rPr>
          <w:rFonts w:cs="Arial"/>
          <w:color w:val="000000"/>
          <w:szCs w:val="22"/>
        </w:rPr>
      </w:pPr>
      <w:r>
        <w:rPr>
          <w:rFonts w:cs="Arial"/>
          <w:szCs w:val="22"/>
        </w:rPr>
        <w:t>I</w:t>
      </w:r>
      <w:r w:rsidR="007D559B" w:rsidRPr="00F157A3">
        <w:rPr>
          <w:rFonts w:cs="Arial"/>
          <w:szCs w:val="22"/>
        </w:rPr>
        <w:t>l est fortement</w:t>
      </w:r>
      <w:r w:rsidR="003E24CC">
        <w:rPr>
          <w:rFonts w:cs="Arial"/>
          <w:szCs w:val="22"/>
        </w:rPr>
        <w:t xml:space="preserve"> </w:t>
      </w:r>
      <w:r w:rsidR="007D559B" w:rsidRPr="00F157A3">
        <w:rPr>
          <w:rFonts w:cs="Arial"/>
          <w:szCs w:val="22"/>
        </w:rPr>
        <w:t>recommandé de faire appel à des équipes spécialisées dans</w:t>
      </w:r>
      <w:r w:rsidR="003E24CC">
        <w:rPr>
          <w:rFonts w:cs="Arial"/>
          <w:szCs w:val="22"/>
        </w:rPr>
        <w:t xml:space="preserve"> </w:t>
      </w:r>
      <w:r w:rsidR="007D559B" w:rsidRPr="00F157A3">
        <w:rPr>
          <w:rFonts w:cs="Arial"/>
          <w:szCs w:val="22"/>
        </w:rPr>
        <w:t>le traitement de la doul</w:t>
      </w:r>
      <w:r w:rsidR="003E24CC">
        <w:rPr>
          <w:rFonts w:cs="Arial"/>
          <w:szCs w:val="22"/>
        </w:rPr>
        <w:t>eur, au sein de structures iden</w:t>
      </w:r>
      <w:r w:rsidR="007D559B" w:rsidRPr="00F157A3">
        <w:rPr>
          <w:rFonts w:cs="Arial"/>
          <w:szCs w:val="22"/>
        </w:rPr>
        <w:t>tifiées (notamment les équipes mobiles « douleur » et/ou</w:t>
      </w:r>
      <w:r w:rsidR="00DE777D">
        <w:rPr>
          <w:rFonts w:cs="Arial"/>
          <w:szCs w:val="22"/>
        </w:rPr>
        <w:t xml:space="preserve"> </w:t>
      </w:r>
      <w:r w:rsidR="007D559B" w:rsidRPr="00F157A3">
        <w:rPr>
          <w:rFonts w:cs="Arial"/>
          <w:szCs w:val="22"/>
        </w:rPr>
        <w:t>« soins palliatifs »). Un tra</w:t>
      </w:r>
      <w:r w:rsidR="003E24CC">
        <w:rPr>
          <w:rFonts w:cs="Arial"/>
          <w:szCs w:val="22"/>
        </w:rPr>
        <w:t>vail de concertation pluridisci</w:t>
      </w:r>
      <w:r w:rsidR="007D559B" w:rsidRPr="00F157A3">
        <w:rPr>
          <w:rFonts w:cs="Arial"/>
          <w:szCs w:val="22"/>
        </w:rPr>
        <w:t>plinaire et pluriprofessionn</w:t>
      </w:r>
      <w:r w:rsidR="003E24CC">
        <w:rPr>
          <w:rFonts w:cs="Arial"/>
          <w:szCs w:val="22"/>
        </w:rPr>
        <w:t>elle, avec réflexion collective</w:t>
      </w:r>
      <w:r>
        <w:rPr>
          <w:rFonts w:cs="Arial"/>
          <w:szCs w:val="22"/>
        </w:rPr>
        <w:t>,</w:t>
      </w:r>
      <w:r w:rsidR="003E24CC">
        <w:rPr>
          <w:rFonts w:cs="Arial"/>
          <w:szCs w:val="22"/>
        </w:rPr>
        <w:t xml:space="preserve"> </w:t>
      </w:r>
      <w:r w:rsidR="007D559B" w:rsidRPr="00F157A3">
        <w:rPr>
          <w:rFonts w:cs="Arial"/>
          <w:szCs w:val="22"/>
        </w:rPr>
        <w:t>doit se mettre en place autour du patient, permettant</w:t>
      </w:r>
      <w:r w:rsidR="003E24CC">
        <w:rPr>
          <w:rFonts w:cs="Arial"/>
          <w:szCs w:val="22"/>
        </w:rPr>
        <w:t xml:space="preserve"> </w:t>
      </w:r>
      <w:r w:rsidR="007D559B" w:rsidRPr="00F157A3">
        <w:rPr>
          <w:rFonts w:cs="Arial"/>
          <w:szCs w:val="22"/>
        </w:rPr>
        <w:t>d’adopter une attitude thérapeutique</w:t>
      </w:r>
      <w:r w:rsidR="00CC01A9">
        <w:rPr>
          <w:rFonts w:cs="Arial"/>
          <w:szCs w:val="22"/>
        </w:rPr>
        <w:t xml:space="preserve"> </w:t>
      </w:r>
      <w:r w:rsidR="007D559B" w:rsidRPr="00F157A3">
        <w:rPr>
          <w:rFonts w:cs="Arial"/>
          <w:szCs w:val="22"/>
        </w:rPr>
        <w:t>consensuelle,</w:t>
      </w:r>
      <w:r w:rsidR="00CC01A9">
        <w:rPr>
          <w:rFonts w:cs="Arial"/>
          <w:szCs w:val="22"/>
        </w:rPr>
        <w:t xml:space="preserve"> </w:t>
      </w:r>
      <w:r w:rsidR="007D559B" w:rsidRPr="00F157A3">
        <w:rPr>
          <w:rFonts w:cs="Arial"/>
          <w:szCs w:val="22"/>
        </w:rPr>
        <w:t>impliquant</w:t>
      </w:r>
      <w:r w:rsidR="003E24CC">
        <w:rPr>
          <w:rFonts w:cs="Arial"/>
          <w:szCs w:val="22"/>
        </w:rPr>
        <w:t xml:space="preserve"> </w:t>
      </w:r>
      <w:r w:rsidR="007D559B" w:rsidRPr="00F157A3">
        <w:rPr>
          <w:rFonts w:cs="Arial"/>
          <w:szCs w:val="22"/>
        </w:rPr>
        <w:t>le personnel médical</w:t>
      </w:r>
      <w:r w:rsidR="003E24CC">
        <w:rPr>
          <w:rFonts w:cs="Arial"/>
          <w:szCs w:val="22"/>
        </w:rPr>
        <w:t xml:space="preserve"> </w:t>
      </w:r>
      <w:r w:rsidR="007D559B" w:rsidRPr="00F157A3">
        <w:rPr>
          <w:rFonts w:cs="Arial"/>
          <w:szCs w:val="22"/>
        </w:rPr>
        <w:t xml:space="preserve">(algologues, oncologues, </w:t>
      </w:r>
      <w:r w:rsidR="003E24CC">
        <w:rPr>
          <w:rFonts w:cs="Arial"/>
          <w:szCs w:val="22"/>
        </w:rPr>
        <w:t>radiothérapeutes, médecins géné</w:t>
      </w:r>
      <w:r w:rsidR="007D559B" w:rsidRPr="00F157A3">
        <w:rPr>
          <w:rFonts w:cs="Arial"/>
          <w:szCs w:val="22"/>
        </w:rPr>
        <w:t>ralistes ou autres spécialistes)</w:t>
      </w:r>
      <w:r w:rsidR="00CC01A9">
        <w:rPr>
          <w:rFonts w:cs="Arial"/>
          <w:szCs w:val="22"/>
        </w:rPr>
        <w:t xml:space="preserve"> et le personnel soignant non médi</w:t>
      </w:r>
      <w:r w:rsidR="00CC01A9" w:rsidRPr="00F157A3">
        <w:rPr>
          <w:rFonts w:cs="Arial"/>
          <w:szCs w:val="22"/>
        </w:rPr>
        <w:t>cal (infirmiers, psychologues, aides-soignants, cadres de</w:t>
      </w:r>
      <w:r w:rsidR="00CC01A9">
        <w:rPr>
          <w:rFonts w:cs="Arial"/>
          <w:szCs w:val="22"/>
        </w:rPr>
        <w:t xml:space="preserve"> </w:t>
      </w:r>
      <w:r w:rsidR="00CC01A9" w:rsidRPr="00F157A3">
        <w:rPr>
          <w:rFonts w:cs="Arial"/>
          <w:szCs w:val="22"/>
        </w:rPr>
        <w:t>santé, assistantes sociales, etc.)</w:t>
      </w:r>
      <w:r w:rsidR="00CC01A9">
        <w:rPr>
          <w:rFonts w:cs="Arial"/>
          <w:szCs w:val="22"/>
        </w:rPr>
        <w:t xml:space="preserve">. </w:t>
      </w:r>
      <w:r w:rsidR="007D559B" w:rsidRPr="00F157A3">
        <w:rPr>
          <w:rFonts w:cs="Arial"/>
          <w:szCs w:val="22"/>
        </w:rPr>
        <w:t>Seront prises en comp</w:t>
      </w:r>
      <w:r w:rsidR="003E24CC">
        <w:rPr>
          <w:rFonts w:cs="Arial"/>
          <w:szCs w:val="22"/>
        </w:rPr>
        <w:t>te toutes les dimensions du syn</w:t>
      </w:r>
      <w:r w:rsidR="007D559B" w:rsidRPr="00F157A3">
        <w:rPr>
          <w:rFonts w:cs="Arial"/>
          <w:szCs w:val="22"/>
        </w:rPr>
        <w:t>drome douloureux</w:t>
      </w:r>
      <w:r w:rsidR="00DE777D">
        <w:rPr>
          <w:rFonts w:cs="Arial"/>
          <w:szCs w:val="22"/>
        </w:rPr>
        <w:t xml:space="preserve"> </w:t>
      </w:r>
      <w:r w:rsidR="007D559B" w:rsidRPr="00F157A3">
        <w:rPr>
          <w:rFonts w:cs="Arial"/>
          <w:szCs w:val="22"/>
        </w:rPr>
        <w:t>chronique, à savoir, les dimensions</w:t>
      </w:r>
      <w:r w:rsidR="003E24CC">
        <w:rPr>
          <w:rFonts w:cs="Arial"/>
          <w:szCs w:val="22"/>
        </w:rPr>
        <w:t xml:space="preserve"> </w:t>
      </w:r>
      <w:r w:rsidR="007D559B" w:rsidRPr="00F157A3">
        <w:rPr>
          <w:rFonts w:cs="Arial"/>
          <w:szCs w:val="22"/>
        </w:rPr>
        <w:t>physiologique, psychologique, socio</w:t>
      </w:r>
      <w:r w:rsidR="003E24CC">
        <w:rPr>
          <w:rFonts w:cs="Arial"/>
          <w:szCs w:val="22"/>
        </w:rPr>
        <w:t>-</w:t>
      </w:r>
      <w:r w:rsidR="007D559B" w:rsidRPr="00F157A3">
        <w:rPr>
          <w:rFonts w:cs="Arial"/>
          <w:szCs w:val="22"/>
        </w:rPr>
        <w:t>familiale et spirituelle,</w:t>
      </w:r>
      <w:r w:rsidR="003E24CC">
        <w:rPr>
          <w:rFonts w:cs="Arial"/>
          <w:szCs w:val="22"/>
        </w:rPr>
        <w:t xml:space="preserve"> </w:t>
      </w:r>
      <w:r w:rsidR="007D559B" w:rsidRPr="00F157A3">
        <w:rPr>
          <w:rFonts w:cs="Arial"/>
          <w:szCs w:val="22"/>
        </w:rPr>
        <w:t>dans le respect des règles éthiques</w:t>
      </w:r>
      <w:r w:rsidR="002A2EA2">
        <w:rPr>
          <w:rFonts w:cs="Arial"/>
          <w:szCs w:val="22"/>
        </w:rPr>
        <w:t>.</w:t>
      </w:r>
      <w:r w:rsidR="00CC01A9">
        <w:rPr>
          <w:rFonts w:cs="Arial"/>
          <w:szCs w:val="22"/>
        </w:rPr>
        <w:t xml:space="preserve"> </w:t>
      </w:r>
      <w:r w:rsidR="00A1086B" w:rsidRPr="00F157A3">
        <w:rPr>
          <w:rFonts w:cs="Arial"/>
          <w:szCs w:val="22"/>
          <w:shd w:val="clear" w:color="auto" w:fill="FFFFFF"/>
        </w:rPr>
        <w:t xml:space="preserve">En dépit des recommandations actuellement disponibles sur la prise en charge de la douleur </w:t>
      </w:r>
      <w:r w:rsidR="00E809E2">
        <w:rPr>
          <w:rFonts w:cs="Arial"/>
          <w:szCs w:val="22"/>
          <w:shd w:val="clear" w:color="auto" w:fill="FFFFFF"/>
        </w:rPr>
        <w:t>d’origine cancéreuse</w:t>
      </w:r>
      <w:r w:rsidR="00A1086B" w:rsidRPr="00F157A3">
        <w:rPr>
          <w:rFonts w:cs="Arial"/>
          <w:szCs w:val="22"/>
          <w:shd w:val="clear" w:color="auto" w:fill="FFFFFF"/>
        </w:rPr>
        <w:t xml:space="preserve">, certains patients </w:t>
      </w:r>
      <w:r w:rsidR="00CC01A9">
        <w:rPr>
          <w:rFonts w:cs="Arial"/>
          <w:szCs w:val="22"/>
          <w:shd w:val="clear" w:color="auto" w:fill="FFFFFF"/>
        </w:rPr>
        <w:t xml:space="preserve">restent insuffisamment </w:t>
      </w:r>
      <w:r w:rsidR="00A1086B" w:rsidRPr="00F157A3">
        <w:rPr>
          <w:rFonts w:cs="Arial"/>
          <w:szCs w:val="22"/>
          <w:shd w:val="clear" w:color="auto" w:fill="FFFFFF"/>
        </w:rPr>
        <w:t>soulagés ou bien ressentent des effets indésirables sévères limitant l’augmentation des doses d’opioïdes.</w:t>
      </w:r>
      <w:r w:rsidR="00E809E2">
        <w:rPr>
          <w:rFonts w:cs="Arial"/>
          <w:szCs w:val="22"/>
          <w:shd w:val="clear" w:color="auto" w:fill="FFFFFF"/>
        </w:rPr>
        <w:t xml:space="preserve"> </w:t>
      </w:r>
      <w:r w:rsidR="007A1077" w:rsidRPr="00F157A3">
        <w:rPr>
          <w:rFonts w:cs="Arial"/>
          <w:color w:val="000000"/>
          <w:szCs w:val="22"/>
        </w:rPr>
        <w:t xml:space="preserve">Le besoin </w:t>
      </w:r>
      <w:r w:rsidR="00FA2D4F" w:rsidRPr="00F157A3">
        <w:rPr>
          <w:rFonts w:cs="Arial"/>
          <w:color w:val="000000"/>
          <w:szCs w:val="22"/>
        </w:rPr>
        <w:t>médical n’</w:t>
      </w:r>
      <w:r w:rsidR="007A1077" w:rsidRPr="00F157A3">
        <w:rPr>
          <w:rFonts w:cs="Arial"/>
          <w:color w:val="000000"/>
          <w:szCs w:val="22"/>
        </w:rPr>
        <w:t>est</w:t>
      </w:r>
      <w:r w:rsidR="00CD43A9" w:rsidRPr="00F157A3">
        <w:rPr>
          <w:rFonts w:cs="Arial"/>
          <w:color w:val="000000"/>
          <w:szCs w:val="22"/>
        </w:rPr>
        <w:t xml:space="preserve"> </w:t>
      </w:r>
      <w:r w:rsidR="00FA2D4F" w:rsidRPr="00F157A3">
        <w:rPr>
          <w:rFonts w:cs="Arial"/>
          <w:color w:val="000000"/>
          <w:szCs w:val="22"/>
        </w:rPr>
        <w:t xml:space="preserve">encore que </w:t>
      </w:r>
      <w:r w:rsidR="00CD43A9" w:rsidRPr="00F157A3">
        <w:rPr>
          <w:rFonts w:cs="Arial"/>
          <w:color w:val="000000"/>
          <w:szCs w:val="22"/>
        </w:rPr>
        <w:t xml:space="preserve">partiellement couvert </w:t>
      </w:r>
      <w:r w:rsidR="00FA2D4F" w:rsidRPr="00F157A3">
        <w:rPr>
          <w:rFonts w:cs="Arial"/>
          <w:color w:val="000000"/>
          <w:szCs w:val="22"/>
        </w:rPr>
        <w:t>dans ces</w:t>
      </w:r>
      <w:r w:rsidR="00741155" w:rsidRPr="00F157A3">
        <w:rPr>
          <w:rFonts w:cs="Arial"/>
          <w:color w:val="000000"/>
          <w:szCs w:val="22"/>
        </w:rPr>
        <w:t xml:space="preserve"> </w:t>
      </w:r>
      <w:r w:rsidR="00FD3150" w:rsidRPr="00F157A3">
        <w:rPr>
          <w:rFonts w:cs="Arial"/>
          <w:color w:val="000000"/>
          <w:szCs w:val="22"/>
        </w:rPr>
        <w:t>situation</w:t>
      </w:r>
      <w:r w:rsidR="00FA2D4F" w:rsidRPr="00F157A3">
        <w:rPr>
          <w:rFonts w:cs="Arial"/>
          <w:color w:val="000000"/>
          <w:szCs w:val="22"/>
        </w:rPr>
        <w:t>s</w:t>
      </w:r>
      <w:r w:rsidR="00FD3150" w:rsidRPr="00F157A3">
        <w:rPr>
          <w:rFonts w:cs="Arial"/>
          <w:color w:val="000000"/>
          <w:szCs w:val="22"/>
        </w:rPr>
        <w:t>.</w:t>
      </w:r>
    </w:p>
    <w:p w14:paraId="1E7323E8" w14:textId="77777777" w:rsidR="00A75B8E" w:rsidRDefault="00A75B8E" w:rsidP="007D559B">
      <w:pPr>
        <w:rPr>
          <w:rFonts w:cs="Arial"/>
          <w:color w:val="000000"/>
          <w:szCs w:val="22"/>
        </w:rPr>
      </w:pPr>
    </w:p>
    <w:p w14:paraId="4D74A1E5" w14:textId="77777777" w:rsidR="00EA50C2" w:rsidRDefault="00EA50C2">
      <w:pPr>
        <w:jc w:val="left"/>
        <w:rPr>
          <w:rFonts w:ascii="Arial Gras" w:hAnsi="Arial Gras"/>
          <w:b/>
          <w:smallCaps/>
          <w:color w:val="808080"/>
          <w:sz w:val="32"/>
        </w:rPr>
      </w:pPr>
      <w:r>
        <w:br w:type="page"/>
      </w:r>
    </w:p>
    <w:p w14:paraId="6728E392" w14:textId="753A023C" w:rsidR="00485DD1" w:rsidRPr="00485DD1" w:rsidRDefault="00B44AF5" w:rsidP="000B7A12">
      <w:pPr>
        <w:pStyle w:val="Titre1"/>
      </w:pPr>
      <w:r>
        <w:t>Comparateurs cliniquement pertinents</w:t>
      </w:r>
    </w:p>
    <w:p w14:paraId="26AF4C1B" w14:textId="77777777" w:rsidR="007F5191" w:rsidRPr="00C13E96" w:rsidRDefault="007F5191" w:rsidP="00DA6BD6">
      <w:pPr>
        <w:pStyle w:val="Titre2"/>
      </w:pPr>
      <w:r w:rsidRPr="00C13E96">
        <w:t>Médicaments</w:t>
      </w:r>
    </w:p>
    <w:p w14:paraId="0F4C6FEE" w14:textId="2F73257C" w:rsidR="006056C3" w:rsidRDefault="00741155" w:rsidP="007F5191">
      <w:pPr>
        <w:tabs>
          <w:tab w:val="left" w:pos="0"/>
        </w:tabs>
        <w:rPr>
          <w:bCs/>
          <w:szCs w:val="22"/>
        </w:rPr>
      </w:pPr>
      <w:r w:rsidRPr="00934F4F">
        <w:rPr>
          <w:rFonts w:cs="Arial"/>
          <w:szCs w:val="22"/>
        </w:rPr>
        <w:t xml:space="preserve">ZORYON est un </w:t>
      </w:r>
      <w:r w:rsidR="006078BF">
        <w:rPr>
          <w:rFonts w:cs="Arial"/>
          <w:szCs w:val="22"/>
        </w:rPr>
        <w:t>médicament</w:t>
      </w:r>
      <w:r w:rsidR="00B6393E" w:rsidRPr="00934F4F">
        <w:rPr>
          <w:rFonts w:cs="Arial"/>
          <w:szCs w:val="22"/>
        </w:rPr>
        <w:t xml:space="preserve"> </w:t>
      </w:r>
      <w:r w:rsidR="00B1256C">
        <w:rPr>
          <w:rFonts w:cs="Arial"/>
          <w:szCs w:val="22"/>
        </w:rPr>
        <w:t>antalgique</w:t>
      </w:r>
      <w:r w:rsidR="00B6393E" w:rsidRPr="00934F4F">
        <w:rPr>
          <w:rFonts w:cs="Arial"/>
          <w:szCs w:val="22"/>
        </w:rPr>
        <w:t xml:space="preserve"> </w:t>
      </w:r>
      <w:r w:rsidR="006078BF">
        <w:rPr>
          <w:rFonts w:cs="Arial"/>
          <w:szCs w:val="22"/>
        </w:rPr>
        <w:t>indiqué dans</w:t>
      </w:r>
      <w:r w:rsidR="00FE1FEE" w:rsidRPr="00934F4F">
        <w:rPr>
          <w:rFonts w:cs="Arial"/>
          <w:szCs w:val="22"/>
        </w:rPr>
        <w:t xml:space="preserve"> </w:t>
      </w:r>
      <w:r w:rsidR="006078BF">
        <w:rPr>
          <w:rFonts w:cs="Arial"/>
          <w:szCs w:val="22"/>
        </w:rPr>
        <w:t>le</w:t>
      </w:r>
      <w:r w:rsidR="00934F4F" w:rsidRPr="00503696">
        <w:rPr>
          <w:rFonts w:cs="Arial"/>
          <w:szCs w:val="22"/>
        </w:rPr>
        <w:t xml:space="preserve"> </w:t>
      </w:r>
      <w:r w:rsidR="00934F4F" w:rsidRPr="00503696">
        <w:rPr>
          <w:szCs w:val="22"/>
        </w:rPr>
        <w:t xml:space="preserve">traitement de fond de </w:t>
      </w:r>
      <w:r w:rsidR="00B1256C" w:rsidRPr="00503696">
        <w:rPr>
          <w:bCs/>
          <w:szCs w:val="22"/>
        </w:rPr>
        <w:t>douleurs d’origine</w:t>
      </w:r>
      <w:r w:rsidR="00B1256C" w:rsidRPr="00503696">
        <w:rPr>
          <w:bCs/>
          <w:szCs w:val="22"/>
          <w:vertAlign w:val="superscript"/>
        </w:rPr>
        <w:t xml:space="preserve"> </w:t>
      </w:r>
      <w:r w:rsidR="00B1256C" w:rsidRPr="00503696">
        <w:rPr>
          <w:bCs/>
          <w:szCs w:val="22"/>
        </w:rPr>
        <w:t>cancéreuse d’intensité modérée à sévère</w:t>
      </w:r>
      <w:r w:rsidR="005C38EC">
        <w:rPr>
          <w:bCs/>
          <w:szCs w:val="22"/>
        </w:rPr>
        <w:t>,</w:t>
      </w:r>
      <w:r w:rsidR="00B1256C" w:rsidRPr="00503696">
        <w:rPr>
          <w:bCs/>
          <w:szCs w:val="22"/>
        </w:rPr>
        <w:t xml:space="preserve"> chez </w:t>
      </w:r>
      <w:r w:rsidR="006078BF">
        <w:rPr>
          <w:bCs/>
          <w:szCs w:val="22"/>
        </w:rPr>
        <w:t>d</w:t>
      </w:r>
      <w:r w:rsidR="00B1256C" w:rsidRPr="00503696">
        <w:rPr>
          <w:bCs/>
          <w:szCs w:val="22"/>
        </w:rPr>
        <w:t>es pa</w:t>
      </w:r>
      <w:r w:rsidR="00B1256C" w:rsidRPr="0063293E">
        <w:rPr>
          <w:bCs/>
          <w:szCs w:val="22"/>
        </w:rPr>
        <w:t>tients qui ne sont pas soulagés de façon adéquate par d’autres opioïdes de palier 3, en raison d’une efficacité insuffisante et/ou d’effets indésirables excessifs</w:t>
      </w:r>
      <w:r w:rsidR="00B1256C">
        <w:rPr>
          <w:bCs/>
          <w:szCs w:val="22"/>
        </w:rPr>
        <w:t>.</w:t>
      </w:r>
    </w:p>
    <w:p w14:paraId="08A0A8C9" w14:textId="77777777" w:rsidR="006056C3" w:rsidRDefault="006056C3" w:rsidP="007F5191">
      <w:pPr>
        <w:tabs>
          <w:tab w:val="left" w:pos="0"/>
        </w:tabs>
        <w:rPr>
          <w:bCs/>
          <w:szCs w:val="22"/>
        </w:rPr>
      </w:pPr>
    </w:p>
    <w:p w14:paraId="1D5F2803" w14:textId="072CFF22" w:rsidR="00B1256C" w:rsidRDefault="00EB1473" w:rsidP="00B1256C">
      <w:pPr>
        <w:tabs>
          <w:tab w:val="left" w:pos="0"/>
        </w:tabs>
        <w:rPr>
          <w:bCs/>
          <w:szCs w:val="22"/>
        </w:rPr>
      </w:pPr>
      <w:r w:rsidRPr="00EB1473">
        <w:rPr>
          <w:bCs/>
          <w:szCs w:val="22"/>
        </w:rPr>
        <w:t xml:space="preserve">ZORYON s’inscrit parmi les médicaments susceptibles d’être choisis dans le cadre d’une </w:t>
      </w:r>
      <w:r w:rsidR="00495EC5" w:rsidRPr="00EB1473">
        <w:rPr>
          <w:bCs/>
          <w:szCs w:val="22"/>
        </w:rPr>
        <w:t>r</w:t>
      </w:r>
      <w:r w:rsidR="006056C3" w:rsidRPr="00EB1473">
        <w:rPr>
          <w:bCs/>
          <w:szCs w:val="22"/>
        </w:rPr>
        <w:t xml:space="preserve">otation </w:t>
      </w:r>
      <w:r w:rsidR="00495EC5" w:rsidRPr="00EB1473">
        <w:rPr>
          <w:bCs/>
          <w:szCs w:val="22"/>
        </w:rPr>
        <w:t>d’</w:t>
      </w:r>
      <w:r w:rsidR="006056C3" w:rsidRPr="00EB1473">
        <w:rPr>
          <w:bCs/>
          <w:szCs w:val="22"/>
        </w:rPr>
        <w:t>opio</w:t>
      </w:r>
      <w:r w:rsidR="00152570" w:rsidRPr="00EB1473">
        <w:rPr>
          <w:bCs/>
          <w:szCs w:val="22"/>
        </w:rPr>
        <w:t>ï</w:t>
      </w:r>
      <w:r w:rsidR="00495EC5" w:rsidRPr="00EB1473">
        <w:rPr>
          <w:bCs/>
          <w:szCs w:val="22"/>
        </w:rPr>
        <w:t xml:space="preserve">de </w:t>
      </w:r>
      <w:r>
        <w:rPr>
          <w:bCs/>
          <w:szCs w:val="22"/>
        </w:rPr>
        <w:t xml:space="preserve">chez </w:t>
      </w:r>
      <w:r w:rsidR="00051455">
        <w:rPr>
          <w:bCs/>
          <w:szCs w:val="22"/>
        </w:rPr>
        <w:t>d</w:t>
      </w:r>
      <w:r>
        <w:rPr>
          <w:bCs/>
          <w:szCs w:val="22"/>
        </w:rPr>
        <w:t>es patients pour lesquels l</w:t>
      </w:r>
      <w:r w:rsidR="006177E6">
        <w:rPr>
          <w:bCs/>
          <w:szCs w:val="22"/>
        </w:rPr>
        <w:t>es</w:t>
      </w:r>
      <w:r>
        <w:rPr>
          <w:bCs/>
          <w:szCs w:val="22"/>
        </w:rPr>
        <w:t xml:space="preserve"> douleur</w:t>
      </w:r>
      <w:r w:rsidR="006177E6">
        <w:rPr>
          <w:bCs/>
          <w:szCs w:val="22"/>
        </w:rPr>
        <w:t>s</w:t>
      </w:r>
      <w:r>
        <w:rPr>
          <w:bCs/>
          <w:szCs w:val="22"/>
        </w:rPr>
        <w:t xml:space="preserve"> </w:t>
      </w:r>
      <w:r w:rsidR="006177E6">
        <w:rPr>
          <w:bCs/>
          <w:szCs w:val="22"/>
        </w:rPr>
        <w:t>chronique</w:t>
      </w:r>
      <w:r w:rsidR="0092095B">
        <w:rPr>
          <w:bCs/>
          <w:szCs w:val="22"/>
        </w:rPr>
        <w:t>s</w:t>
      </w:r>
      <w:r w:rsidR="006177E6">
        <w:rPr>
          <w:bCs/>
          <w:szCs w:val="22"/>
        </w:rPr>
        <w:t xml:space="preserve"> </w:t>
      </w:r>
      <w:r>
        <w:rPr>
          <w:bCs/>
          <w:szCs w:val="22"/>
        </w:rPr>
        <w:t xml:space="preserve">d’origine cancéreuse </w:t>
      </w:r>
      <w:r w:rsidR="006177E6">
        <w:rPr>
          <w:bCs/>
          <w:szCs w:val="22"/>
        </w:rPr>
        <w:t>deviennent</w:t>
      </w:r>
      <w:r>
        <w:rPr>
          <w:bCs/>
          <w:szCs w:val="22"/>
        </w:rPr>
        <w:t xml:space="preserve"> </w:t>
      </w:r>
      <w:r w:rsidR="00051455">
        <w:rPr>
          <w:bCs/>
          <w:szCs w:val="22"/>
        </w:rPr>
        <w:t xml:space="preserve">instables </w:t>
      </w:r>
      <w:r w:rsidR="009520FE">
        <w:rPr>
          <w:bCs/>
          <w:szCs w:val="22"/>
        </w:rPr>
        <w:t>ou</w:t>
      </w:r>
      <w:r w:rsidR="00051455">
        <w:rPr>
          <w:bCs/>
          <w:szCs w:val="22"/>
        </w:rPr>
        <w:t xml:space="preserve"> </w:t>
      </w:r>
      <w:r w:rsidR="006177E6">
        <w:rPr>
          <w:bCs/>
          <w:szCs w:val="22"/>
        </w:rPr>
        <w:t>difficiles à soulager</w:t>
      </w:r>
      <w:r w:rsidR="009520FE">
        <w:rPr>
          <w:bCs/>
          <w:szCs w:val="22"/>
        </w:rPr>
        <w:t>.</w:t>
      </w:r>
    </w:p>
    <w:p w14:paraId="644467C8" w14:textId="77777777" w:rsidR="00EA50C2" w:rsidRPr="00EA50C2" w:rsidRDefault="00EA50C2" w:rsidP="00B1256C">
      <w:pPr>
        <w:tabs>
          <w:tab w:val="left" w:pos="0"/>
        </w:tabs>
        <w:rPr>
          <w:bCs/>
          <w:szCs w:val="22"/>
        </w:rPr>
      </w:pPr>
    </w:p>
    <w:p w14:paraId="33557BBC" w14:textId="77777777" w:rsidR="00B1256C" w:rsidRPr="00934F4F" w:rsidRDefault="00B1256C" w:rsidP="007F5191">
      <w:pPr>
        <w:tabs>
          <w:tab w:val="left" w:pos="0"/>
        </w:tabs>
        <w:rPr>
          <w:rFonts w:cs="Arial"/>
          <w:szCs w:val="22"/>
        </w:rPr>
      </w:pPr>
    </w:p>
    <w:p w14:paraId="24464110" w14:textId="77777777" w:rsidR="005A4DAC" w:rsidRDefault="005A4DAC" w:rsidP="00317B46">
      <w:pPr>
        <w:rPr>
          <w:rFonts w:cs="Arial"/>
          <w:bCs/>
          <w:iCs/>
          <w:szCs w:val="22"/>
        </w:rPr>
        <w:sectPr w:rsidR="005A4DAC" w:rsidSect="0064116D">
          <w:pgSz w:w="11907" w:h="16840" w:code="9"/>
          <w:pgMar w:top="1134" w:right="1134" w:bottom="1134" w:left="1134" w:header="709" w:footer="709" w:gutter="0"/>
          <w:cols w:space="708"/>
          <w:docGrid w:linePitch="360"/>
        </w:sectPr>
      </w:pPr>
    </w:p>
    <w:p w14:paraId="06CBD6E9" w14:textId="23D5A97F" w:rsidR="00AE7C36" w:rsidRPr="00EA50C2" w:rsidRDefault="00057728" w:rsidP="00057728">
      <w:pPr>
        <w:jc w:val="center"/>
        <w:rPr>
          <w:rFonts w:cs="Arial"/>
          <w:b/>
          <w:bCs/>
          <w:iCs/>
          <w:sz w:val="20"/>
          <w:szCs w:val="22"/>
        </w:rPr>
      </w:pPr>
      <w:r w:rsidRPr="00EA50C2">
        <w:rPr>
          <w:rFonts w:cs="Arial"/>
          <w:b/>
          <w:bCs/>
          <w:iCs/>
          <w:sz w:val="20"/>
          <w:szCs w:val="22"/>
        </w:rPr>
        <w:t xml:space="preserve">Tableau résumé des antalgiques de palier III </w:t>
      </w:r>
      <w:r w:rsidR="006078BF" w:rsidRPr="00EA50C2">
        <w:rPr>
          <w:rFonts w:cs="Arial"/>
          <w:b/>
          <w:bCs/>
          <w:iCs/>
          <w:sz w:val="20"/>
          <w:szCs w:val="22"/>
        </w:rPr>
        <w:t xml:space="preserve">utilisés </w:t>
      </w:r>
      <w:r w:rsidRPr="00EA50C2">
        <w:rPr>
          <w:rFonts w:cs="Arial"/>
          <w:b/>
          <w:bCs/>
          <w:iCs/>
          <w:sz w:val="20"/>
          <w:szCs w:val="22"/>
        </w:rPr>
        <w:t>dans l</w:t>
      </w:r>
      <w:r w:rsidR="00922883" w:rsidRPr="00EA50C2">
        <w:rPr>
          <w:rFonts w:cs="Arial"/>
          <w:b/>
          <w:bCs/>
          <w:iCs/>
          <w:sz w:val="20"/>
          <w:szCs w:val="22"/>
        </w:rPr>
        <w:t>es douleurs d’origine cancéreuse</w:t>
      </w:r>
    </w:p>
    <w:p w14:paraId="55005BBF" w14:textId="77777777" w:rsidR="00741155" w:rsidRDefault="00741155" w:rsidP="00317B46">
      <w:pPr>
        <w:rPr>
          <w:rFonts w:cs="Arial"/>
          <w:bCs/>
          <w:iCs/>
          <w:szCs w:val="22"/>
        </w:rPr>
      </w:pPr>
    </w:p>
    <w:tbl>
      <w:tblPr>
        <w:tblW w:w="14502" w:type="dxa"/>
        <w:tblInd w:w="104" w:type="dxa"/>
        <w:tblLayout w:type="fixed"/>
        <w:tblCellMar>
          <w:left w:w="0" w:type="dxa"/>
          <w:right w:w="0" w:type="dxa"/>
        </w:tblCellMar>
        <w:tblLook w:val="0000" w:firstRow="0" w:lastRow="0" w:firstColumn="0" w:lastColumn="0" w:noHBand="0" w:noVBand="0"/>
      </w:tblPr>
      <w:tblGrid>
        <w:gridCol w:w="3402"/>
        <w:gridCol w:w="4819"/>
        <w:gridCol w:w="2170"/>
        <w:gridCol w:w="4111"/>
      </w:tblGrid>
      <w:tr w:rsidR="006F7B2A" w:rsidRPr="00EA50C2" w14:paraId="264A9962" w14:textId="77777777" w:rsidTr="00EA50C2">
        <w:trPr>
          <w:trHeight w:hRule="exact" w:val="672"/>
        </w:trPr>
        <w:tc>
          <w:tcPr>
            <w:tcW w:w="3402" w:type="dxa"/>
            <w:tcBorders>
              <w:top w:val="single" w:sz="4" w:space="0" w:color="A6A6A6"/>
              <w:left w:val="single" w:sz="4" w:space="0" w:color="A6A6A6"/>
              <w:bottom w:val="single" w:sz="4" w:space="0" w:color="A6A6A6"/>
              <w:right w:val="single" w:sz="4" w:space="0" w:color="A6A6A6"/>
            </w:tcBorders>
            <w:shd w:val="clear" w:color="auto" w:fill="004790"/>
          </w:tcPr>
          <w:p w14:paraId="09CC8395" w14:textId="77777777" w:rsidR="006F7B2A" w:rsidRPr="00EA50C2" w:rsidRDefault="006F7B2A" w:rsidP="006F7B2A">
            <w:pPr>
              <w:pStyle w:val="TableParagraph"/>
              <w:kinsoku w:val="0"/>
              <w:overflowPunct w:val="0"/>
              <w:spacing w:before="15"/>
              <w:ind w:left="1321" w:right="1319" w:hanging="2"/>
              <w:jc w:val="center"/>
              <w:rPr>
                <w:rFonts w:ascii="Arial" w:hAnsi="Arial" w:cs="Arial"/>
                <w:color w:val="000000"/>
                <w:sz w:val="20"/>
                <w:szCs w:val="18"/>
              </w:rPr>
            </w:pPr>
            <w:r w:rsidRPr="00EA50C2">
              <w:rPr>
                <w:rFonts w:ascii="Arial" w:hAnsi="Arial" w:cs="Arial"/>
                <w:b/>
                <w:bCs/>
                <w:color w:val="FFFFFF"/>
                <w:spacing w:val="-1"/>
                <w:sz w:val="20"/>
                <w:szCs w:val="18"/>
              </w:rPr>
              <w:t>NOM</w:t>
            </w:r>
            <w:r w:rsidRPr="00EA50C2">
              <w:rPr>
                <w:rFonts w:ascii="Arial" w:hAnsi="Arial" w:cs="Arial"/>
                <w:b/>
                <w:bCs/>
                <w:color w:val="FFFFFF"/>
                <w:spacing w:val="21"/>
                <w:sz w:val="20"/>
                <w:szCs w:val="18"/>
              </w:rPr>
              <w:t xml:space="preserve"> </w:t>
            </w:r>
            <w:r w:rsidRPr="00EA50C2">
              <w:rPr>
                <w:rFonts w:ascii="Arial" w:hAnsi="Arial" w:cs="Arial"/>
                <w:b/>
                <w:bCs/>
                <w:color w:val="FFFFFF"/>
                <w:spacing w:val="-1"/>
                <w:sz w:val="20"/>
                <w:szCs w:val="18"/>
              </w:rPr>
              <w:t>(DCI)</w:t>
            </w:r>
          </w:p>
          <w:p w14:paraId="05E0B2C4" w14:textId="77777777" w:rsidR="006F7B2A" w:rsidRPr="00EA50C2" w:rsidRDefault="006F7B2A" w:rsidP="006F7B2A">
            <w:pPr>
              <w:pStyle w:val="TableParagraph"/>
              <w:kinsoku w:val="0"/>
              <w:overflowPunct w:val="0"/>
              <w:spacing w:before="2"/>
              <w:ind w:left="1"/>
              <w:jc w:val="center"/>
              <w:rPr>
                <w:sz w:val="20"/>
              </w:rPr>
            </w:pPr>
            <w:r w:rsidRPr="00EA50C2">
              <w:rPr>
                <w:rFonts w:ascii="Arial" w:hAnsi="Arial" w:cs="Arial"/>
                <w:b/>
                <w:bCs/>
                <w:i/>
                <w:iCs/>
                <w:color w:val="FFFFFF"/>
                <w:spacing w:val="-1"/>
                <w:sz w:val="20"/>
                <w:szCs w:val="18"/>
              </w:rPr>
              <w:t>Laboratoire</w:t>
            </w:r>
          </w:p>
        </w:tc>
        <w:tc>
          <w:tcPr>
            <w:tcW w:w="4819" w:type="dxa"/>
            <w:tcBorders>
              <w:top w:val="single" w:sz="4" w:space="0" w:color="A6A6A6"/>
              <w:left w:val="single" w:sz="4" w:space="0" w:color="A6A6A6"/>
              <w:bottom w:val="single" w:sz="4" w:space="0" w:color="A6A6A6"/>
              <w:right w:val="single" w:sz="4" w:space="0" w:color="A6A6A6"/>
            </w:tcBorders>
            <w:shd w:val="clear" w:color="auto" w:fill="004790"/>
          </w:tcPr>
          <w:p w14:paraId="1836AF32" w14:textId="77777777" w:rsidR="006F7B2A" w:rsidRPr="00EA50C2" w:rsidRDefault="006F7B2A" w:rsidP="006F7B2A">
            <w:pPr>
              <w:pStyle w:val="TableParagraph"/>
              <w:kinsoku w:val="0"/>
              <w:overflowPunct w:val="0"/>
              <w:spacing w:before="3"/>
              <w:rPr>
                <w:rFonts w:ascii="Arial" w:hAnsi="Arial" w:cs="Arial"/>
                <w:b/>
                <w:bCs/>
                <w:color w:val="004890"/>
                <w:sz w:val="20"/>
                <w:szCs w:val="19"/>
              </w:rPr>
            </w:pPr>
          </w:p>
          <w:p w14:paraId="04EBC82A" w14:textId="77777777" w:rsidR="006F7B2A" w:rsidRPr="00EA50C2" w:rsidRDefault="006F7B2A" w:rsidP="006F7B2A">
            <w:pPr>
              <w:pStyle w:val="TableParagraph"/>
              <w:kinsoku w:val="0"/>
              <w:overflowPunct w:val="0"/>
              <w:ind w:left="4"/>
              <w:jc w:val="center"/>
              <w:rPr>
                <w:color w:val="004890"/>
                <w:sz w:val="20"/>
              </w:rPr>
            </w:pPr>
            <w:r w:rsidRPr="00EA50C2">
              <w:rPr>
                <w:rFonts w:ascii="Arial" w:hAnsi="Arial" w:cs="Arial"/>
                <w:b/>
                <w:bCs/>
                <w:color w:val="FFFFFF" w:themeColor="background1"/>
                <w:spacing w:val="-1"/>
                <w:sz w:val="20"/>
                <w:szCs w:val="18"/>
              </w:rPr>
              <w:t>Indication</w:t>
            </w:r>
          </w:p>
        </w:tc>
        <w:tc>
          <w:tcPr>
            <w:tcW w:w="2170" w:type="dxa"/>
            <w:tcBorders>
              <w:top w:val="single" w:sz="4" w:space="0" w:color="A6A6A6"/>
              <w:left w:val="single" w:sz="4" w:space="0" w:color="A6A6A6"/>
              <w:bottom w:val="single" w:sz="4" w:space="0" w:color="A6A6A6"/>
              <w:right w:val="single" w:sz="4" w:space="0" w:color="A6A6A6"/>
            </w:tcBorders>
            <w:shd w:val="clear" w:color="auto" w:fill="004790"/>
            <w:vAlign w:val="center"/>
          </w:tcPr>
          <w:p w14:paraId="646AB32B" w14:textId="77777777" w:rsidR="006F7B2A" w:rsidRPr="00EA50C2" w:rsidRDefault="006F7B2A" w:rsidP="006F7B2A">
            <w:pPr>
              <w:pStyle w:val="TableParagraph"/>
              <w:kinsoku w:val="0"/>
              <w:overflowPunct w:val="0"/>
              <w:ind w:left="126"/>
              <w:jc w:val="center"/>
              <w:rPr>
                <w:sz w:val="20"/>
              </w:rPr>
            </w:pPr>
            <w:r w:rsidRPr="00EA50C2">
              <w:rPr>
                <w:rFonts w:ascii="Arial" w:hAnsi="Arial" w:cs="Arial"/>
                <w:b/>
                <w:bCs/>
                <w:color w:val="FFFFFF"/>
                <w:spacing w:val="-1"/>
                <w:sz w:val="20"/>
                <w:szCs w:val="18"/>
              </w:rPr>
              <w:t>Date</w:t>
            </w:r>
            <w:r w:rsidRPr="00EA50C2">
              <w:rPr>
                <w:rFonts w:ascii="Arial" w:hAnsi="Arial" w:cs="Arial"/>
                <w:b/>
                <w:bCs/>
                <w:color w:val="FFFFFF"/>
                <w:spacing w:val="1"/>
                <w:sz w:val="20"/>
                <w:szCs w:val="18"/>
              </w:rPr>
              <w:t xml:space="preserve"> </w:t>
            </w:r>
            <w:r w:rsidRPr="00EA50C2">
              <w:rPr>
                <w:rFonts w:ascii="Arial" w:hAnsi="Arial" w:cs="Arial"/>
                <w:b/>
                <w:bCs/>
                <w:color w:val="FFFFFF"/>
                <w:sz w:val="20"/>
                <w:szCs w:val="18"/>
              </w:rPr>
              <w:t>de</w:t>
            </w:r>
            <w:r w:rsidRPr="00EA50C2">
              <w:rPr>
                <w:rFonts w:ascii="Arial" w:hAnsi="Arial" w:cs="Arial"/>
                <w:b/>
                <w:bCs/>
                <w:color w:val="FFFFFF"/>
                <w:spacing w:val="1"/>
                <w:sz w:val="20"/>
                <w:szCs w:val="18"/>
              </w:rPr>
              <w:t xml:space="preserve"> </w:t>
            </w:r>
            <w:r w:rsidRPr="00EA50C2">
              <w:rPr>
                <w:rFonts w:ascii="Arial" w:hAnsi="Arial" w:cs="Arial"/>
                <w:b/>
                <w:bCs/>
                <w:color w:val="FFFFFF"/>
                <w:spacing w:val="-1"/>
                <w:sz w:val="20"/>
                <w:szCs w:val="18"/>
              </w:rPr>
              <w:t>l’avis</w:t>
            </w:r>
          </w:p>
        </w:tc>
        <w:tc>
          <w:tcPr>
            <w:tcW w:w="4111" w:type="dxa"/>
            <w:tcBorders>
              <w:top w:val="single" w:sz="4" w:space="0" w:color="A6A6A6"/>
              <w:left w:val="single" w:sz="4" w:space="0" w:color="A6A6A6"/>
              <w:bottom w:val="single" w:sz="4" w:space="0" w:color="A6A6A6"/>
              <w:right w:val="single" w:sz="4" w:space="0" w:color="A6A6A6"/>
            </w:tcBorders>
            <w:shd w:val="clear" w:color="auto" w:fill="004790"/>
            <w:vAlign w:val="center"/>
          </w:tcPr>
          <w:p w14:paraId="7E96EC54" w14:textId="77777777" w:rsidR="006F7B2A" w:rsidRPr="00EA50C2" w:rsidRDefault="006F7B2A" w:rsidP="00EA50C2">
            <w:pPr>
              <w:pStyle w:val="TableParagraph"/>
              <w:kinsoku w:val="0"/>
              <w:overflowPunct w:val="0"/>
              <w:jc w:val="center"/>
              <w:rPr>
                <w:rFonts w:ascii="Arial" w:hAnsi="Arial" w:cs="Arial"/>
                <w:b/>
                <w:bCs/>
                <w:color w:val="FFFFFF"/>
                <w:sz w:val="20"/>
                <w:szCs w:val="18"/>
              </w:rPr>
            </w:pPr>
            <w:r w:rsidRPr="00EA50C2">
              <w:rPr>
                <w:rFonts w:ascii="Arial" w:hAnsi="Arial" w:cs="Arial"/>
                <w:b/>
                <w:bCs/>
                <w:color w:val="FFFFFF"/>
                <w:sz w:val="20"/>
                <w:szCs w:val="18"/>
              </w:rPr>
              <w:t>SMR / ASMR</w:t>
            </w:r>
          </w:p>
          <w:p w14:paraId="7EF55F01" w14:textId="4AD5636E" w:rsidR="000B49DA" w:rsidRPr="00EA50C2" w:rsidRDefault="0079486C" w:rsidP="00EA50C2">
            <w:pPr>
              <w:pStyle w:val="TableParagraph"/>
              <w:kinsoku w:val="0"/>
              <w:overflowPunct w:val="0"/>
              <w:jc w:val="center"/>
              <w:rPr>
                <w:sz w:val="20"/>
              </w:rPr>
            </w:pPr>
            <w:r w:rsidRPr="00EA50C2">
              <w:rPr>
                <w:rFonts w:ascii="Arial" w:hAnsi="Arial" w:cs="Arial"/>
                <w:b/>
                <w:bCs/>
                <w:color w:val="FFFFFF"/>
                <w:sz w:val="20"/>
                <w:szCs w:val="18"/>
              </w:rPr>
              <w:t>Douleurs d’origine cancéreuse</w:t>
            </w:r>
          </w:p>
        </w:tc>
      </w:tr>
      <w:tr w:rsidR="00EA50C2" w:rsidRPr="00EA50C2" w14:paraId="526C4435"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16EB0D5C" w14:textId="4189C351" w:rsidR="006F7B2A" w:rsidRPr="00EA50C2" w:rsidRDefault="00EA50C2" w:rsidP="00914350">
            <w:pPr>
              <w:autoSpaceDE w:val="0"/>
              <w:autoSpaceDN w:val="0"/>
              <w:adjustRightInd w:val="0"/>
              <w:jc w:val="center"/>
              <w:rPr>
                <w:rFonts w:cs="Arial"/>
                <w:bCs/>
                <w:sz w:val="20"/>
                <w:szCs w:val="18"/>
              </w:rPr>
            </w:pPr>
            <w:r w:rsidRPr="00EA50C2">
              <w:rPr>
                <w:rFonts w:cs="Arial"/>
                <w:b/>
                <w:bCs/>
                <w:sz w:val="20"/>
                <w:szCs w:val="22"/>
              </w:rPr>
              <w:t>Morphine</w:t>
            </w:r>
          </w:p>
        </w:tc>
      </w:tr>
      <w:tr w:rsidR="00052154" w14:paraId="29BA4CB1" w14:textId="77777777" w:rsidTr="00FE1CFB">
        <w:trPr>
          <w:trHeight w:hRule="exact" w:val="1140"/>
        </w:trPr>
        <w:tc>
          <w:tcPr>
            <w:tcW w:w="3402" w:type="dxa"/>
            <w:tcBorders>
              <w:top w:val="single" w:sz="4" w:space="0" w:color="A6A6A6"/>
              <w:left w:val="single" w:sz="4" w:space="0" w:color="A6A6A6"/>
              <w:bottom w:val="single" w:sz="4" w:space="0" w:color="A6A6A6"/>
              <w:right w:val="single" w:sz="4" w:space="0" w:color="A6A6A6"/>
            </w:tcBorders>
            <w:vAlign w:val="center"/>
          </w:tcPr>
          <w:p w14:paraId="6BB8AD93" w14:textId="19A799B2" w:rsidR="00052154" w:rsidRPr="00452431" w:rsidRDefault="00052154" w:rsidP="005E70AD">
            <w:pPr>
              <w:autoSpaceDE w:val="0"/>
              <w:autoSpaceDN w:val="0"/>
              <w:adjustRightInd w:val="0"/>
              <w:ind w:left="179" w:right="99"/>
              <w:jc w:val="left"/>
              <w:rPr>
                <w:rFonts w:cs="Arial"/>
                <w:b/>
                <w:sz w:val="18"/>
                <w:szCs w:val="18"/>
              </w:rPr>
            </w:pPr>
            <w:r w:rsidRPr="00452431">
              <w:rPr>
                <w:rFonts w:cs="Arial"/>
                <w:b/>
                <w:sz w:val="18"/>
                <w:szCs w:val="18"/>
              </w:rPr>
              <w:t xml:space="preserve">SKENAN </w:t>
            </w:r>
            <w:r w:rsidR="00FE7D0F">
              <w:rPr>
                <w:rFonts w:cs="Arial"/>
                <w:b/>
                <w:sz w:val="18"/>
                <w:szCs w:val="18"/>
              </w:rPr>
              <w:t>LP</w:t>
            </w:r>
            <w:r w:rsidRPr="00452431">
              <w:rPr>
                <w:rFonts w:cs="Arial"/>
                <w:b/>
                <w:sz w:val="18"/>
                <w:szCs w:val="18"/>
              </w:rPr>
              <w:t xml:space="preserve"> gélule</w:t>
            </w:r>
          </w:p>
          <w:p w14:paraId="26E7CFD3" w14:textId="77777777" w:rsidR="00052154" w:rsidRPr="00452431" w:rsidRDefault="00052154" w:rsidP="001552DA">
            <w:pPr>
              <w:autoSpaceDE w:val="0"/>
              <w:autoSpaceDN w:val="0"/>
              <w:adjustRightInd w:val="0"/>
              <w:ind w:left="179" w:right="99"/>
              <w:jc w:val="left"/>
              <w:rPr>
                <w:rFonts w:cs="Arial"/>
                <w:sz w:val="18"/>
                <w:szCs w:val="18"/>
              </w:rPr>
            </w:pPr>
            <w:r w:rsidRPr="00452431">
              <w:rPr>
                <w:rFonts w:cs="Arial"/>
                <w:sz w:val="18"/>
                <w:szCs w:val="18"/>
              </w:rPr>
              <w:t>(sulfate de morphine)</w:t>
            </w:r>
          </w:p>
          <w:p w14:paraId="261C8907" w14:textId="77777777" w:rsidR="00052154" w:rsidRPr="00452431" w:rsidRDefault="00052154" w:rsidP="001552DA">
            <w:pPr>
              <w:ind w:left="179" w:right="99"/>
              <w:jc w:val="left"/>
              <w:rPr>
                <w:rFonts w:cs="Arial"/>
                <w:i/>
                <w:sz w:val="18"/>
                <w:szCs w:val="18"/>
              </w:rPr>
            </w:pPr>
            <w:r w:rsidRPr="00452431">
              <w:rPr>
                <w:rFonts w:cs="Arial"/>
                <w:i/>
                <w:sz w:val="18"/>
                <w:szCs w:val="18"/>
              </w:rPr>
              <w:t>Bristol-Myers Squibb</w:t>
            </w:r>
          </w:p>
          <w:p w14:paraId="2FC18DF0" w14:textId="77777777" w:rsidR="00052154" w:rsidRPr="00452431" w:rsidRDefault="00052154" w:rsidP="001552DA">
            <w:pPr>
              <w:spacing w:before="120"/>
              <w:ind w:left="179" w:right="99"/>
              <w:jc w:val="left"/>
              <w:rPr>
                <w:rFonts w:cs="Arial"/>
                <w:b/>
                <w:sz w:val="18"/>
                <w:szCs w:val="18"/>
              </w:rPr>
            </w:pPr>
            <w:r>
              <w:rPr>
                <w:rFonts w:cs="Arial"/>
                <w:b/>
                <w:sz w:val="18"/>
                <w:szCs w:val="18"/>
              </w:rPr>
              <w:t xml:space="preserve">Adulte et </w:t>
            </w:r>
            <w:r w:rsidRPr="00452431">
              <w:rPr>
                <w:rFonts w:cs="Arial"/>
                <w:b/>
                <w:sz w:val="18"/>
                <w:szCs w:val="18"/>
              </w:rPr>
              <w:t>enfant de plus de 6 mois</w:t>
            </w:r>
          </w:p>
        </w:tc>
        <w:tc>
          <w:tcPr>
            <w:tcW w:w="4819" w:type="dxa"/>
            <w:vMerge w:val="restart"/>
            <w:tcBorders>
              <w:top w:val="single" w:sz="4" w:space="0" w:color="A6A6A6"/>
              <w:left w:val="single" w:sz="4" w:space="0" w:color="A6A6A6"/>
              <w:right w:val="single" w:sz="4" w:space="0" w:color="A6A6A6"/>
            </w:tcBorders>
            <w:vAlign w:val="center"/>
          </w:tcPr>
          <w:p w14:paraId="2F6EF31A" w14:textId="77777777" w:rsidR="00052154" w:rsidRPr="00452431" w:rsidRDefault="00052154" w:rsidP="00E4314C">
            <w:pPr>
              <w:ind w:left="43" w:right="98"/>
              <w:rPr>
                <w:rFonts w:cs="Arial"/>
                <w:sz w:val="18"/>
                <w:szCs w:val="18"/>
              </w:rPr>
            </w:pPr>
            <w:r w:rsidRPr="00452431">
              <w:rPr>
                <w:rFonts w:cs="Arial"/>
                <w:sz w:val="18"/>
                <w:szCs w:val="18"/>
              </w:rPr>
              <w:t xml:space="preserve">Douleurs persistantes intenses ou </w:t>
            </w:r>
            <w:r w:rsidRPr="00452431">
              <w:rPr>
                <w:rFonts w:cs="Arial"/>
                <w:bCs/>
                <w:sz w:val="18"/>
                <w:szCs w:val="18"/>
              </w:rPr>
              <w:t xml:space="preserve">rebelles aux autres analgésiques, en </w:t>
            </w:r>
            <w:r w:rsidRPr="00452431">
              <w:rPr>
                <w:rFonts w:cs="Arial"/>
                <w:sz w:val="18"/>
                <w:szCs w:val="18"/>
              </w:rPr>
              <w:t>particulier douleurs d'origine cancéreuse.</w:t>
            </w:r>
          </w:p>
        </w:tc>
        <w:tc>
          <w:tcPr>
            <w:tcW w:w="2170" w:type="dxa"/>
            <w:vMerge w:val="restart"/>
            <w:tcBorders>
              <w:top w:val="single" w:sz="4" w:space="0" w:color="A6A6A6"/>
              <w:left w:val="single" w:sz="4" w:space="0" w:color="A6A6A6"/>
              <w:right w:val="single" w:sz="4" w:space="0" w:color="A6A6A6"/>
            </w:tcBorders>
            <w:vAlign w:val="center"/>
          </w:tcPr>
          <w:p w14:paraId="4E70E7CA" w14:textId="77777777" w:rsidR="00052154" w:rsidRPr="00452431" w:rsidRDefault="00052154" w:rsidP="00EA50C2">
            <w:pPr>
              <w:autoSpaceDE w:val="0"/>
              <w:autoSpaceDN w:val="0"/>
              <w:adjustRightInd w:val="0"/>
              <w:jc w:val="center"/>
              <w:rPr>
                <w:rFonts w:cs="Arial"/>
                <w:sz w:val="18"/>
                <w:szCs w:val="18"/>
              </w:rPr>
            </w:pPr>
            <w:r w:rsidRPr="00452431">
              <w:rPr>
                <w:rFonts w:cs="Arial"/>
                <w:sz w:val="18"/>
                <w:szCs w:val="18"/>
              </w:rPr>
              <w:t>03/06/2015</w:t>
            </w:r>
          </w:p>
          <w:p w14:paraId="5C7904D3" w14:textId="77777777" w:rsidR="00052154" w:rsidRDefault="00052154" w:rsidP="00EA50C2">
            <w:pPr>
              <w:autoSpaceDE w:val="0"/>
              <w:autoSpaceDN w:val="0"/>
              <w:adjustRightInd w:val="0"/>
              <w:jc w:val="center"/>
              <w:rPr>
                <w:rFonts w:cs="Arial"/>
                <w:sz w:val="18"/>
                <w:szCs w:val="18"/>
              </w:rPr>
            </w:pPr>
            <w:r w:rsidRPr="00452431">
              <w:rPr>
                <w:rFonts w:cs="Arial"/>
                <w:sz w:val="18"/>
                <w:szCs w:val="18"/>
              </w:rPr>
              <w:t>RI</w:t>
            </w:r>
          </w:p>
          <w:p w14:paraId="10E6C9E3" w14:textId="094DF6D4" w:rsidR="008B1CC0" w:rsidRDefault="008B1CC0" w:rsidP="00EA50C2">
            <w:pPr>
              <w:autoSpaceDE w:val="0"/>
              <w:autoSpaceDN w:val="0"/>
              <w:adjustRightInd w:val="0"/>
              <w:jc w:val="center"/>
              <w:rPr>
                <w:rFonts w:cs="Arial"/>
                <w:sz w:val="18"/>
                <w:szCs w:val="18"/>
              </w:rPr>
            </w:pPr>
          </w:p>
          <w:p w14:paraId="0722E081" w14:textId="130937F7" w:rsidR="00052154" w:rsidRPr="00452431" w:rsidRDefault="008B1CC0" w:rsidP="00EA50C2">
            <w:pPr>
              <w:autoSpaceDE w:val="0"/>
              <w:autoSpaceDN w:val="0"/>
              <w:adjustRightInd w:val="0"/>
              <w:jc w:val="center"/>
              <w:rPr>
                <w:rFonts w:cs="Arial"/>
                <w:sz w:val="18"/>
                <w:szCs w:val="18"/>
              </w:rPr>
            </w:pPr>
            <w:r>
              <w:rPr>
                <w:rFonts w:cs="Arial"/>
                <w:sz w:val="18"/>
                <w:szCs w:val="18"/>
              </w:rPr>
              <w:t>R</w:t>
            </w:r>
            <w:r w:rsidR="00E4314C" w:rsidRPr="00E4314C">
              <w:rPr>
                <w:rFonts w:cs="Arial"/>
                <w:sz w:val="18"/>
                <w:szCs w:val="18"/>
              </w:rPr>
              <w:t>éévaluation</w:t>
            </w:r>
            <w:r w:rsidR="00052154" w:rsidRPr="00E4314C">
              <w:rPr>
                <w:rFonts w:cs="Arial"/>
                <w:sz w:val="18"/>
                <w:szCs w:val="18"/>
              </w:rPr>
              <w:t xml:space="preserve"> </w:t>
            </w:r>
            <w:r>
              <w:rPr>
                <w:rFonts w:cs="Arial"/>
                <w:sz w:val="18"/>
                <w:szCs w:val="18"/>
              </w:rPr>
              <w:t xml:space="preserve">mars </w:t>
            </w:r>
            <w:r w:rsidR="00052154" w:rsidRPr="00E4314C">
              <w:rPr>
                <w:rFonts w:cs="Arial"/>
                <w:sz w:val="18"/>
                <w:szCs w:val="18"/>
              </w:rPr>
              <w:t>2014</w:t>
            </w:r>
          </w:p>
        </w:tc>
        <w:tc>
          <w:tcPr>
            <w:tcW w:w="4111" w:type="dxa"/>
            <w:vMerge w:val="restart"/>
            <w:tcBorders>
              <w:top w:val="single" w:sz="4" w:space="0" w:color="A6A6A6"/>
              <w:left w:val="single" w:sz="4" w:space="0" w:color="A6A6A6"/>
              <w:right w:val="single" w:sz="4" w:space="0" w:color="A6A6A6"/>
            </w:tcBorders>
            <w:vAlign w:val="center"/>
          </w:tcPr>
          <w:p w14:paraId="6BE77682" w14:textId="07749B05" w:rsidR="00052154" w:rsidRPr="00C96277" w:rsidRDefault="00052154" w:rsidP="00C96277">
            <w:pPr>
              <w:autoSpaceDE w:val="0"/>
              <w:autoSpaceDN w:val="0"/>
              <w:adjustRightInd w:val="0"/>
              <w:ind w:left="42" w:right="149"/>
              <w:rPr>
                <w:rFonts w:cs="Arial"/>
                <w:bCs/>
                <w:sz w:val="18"/>
                <w:szCs w:val="18"/>
              </w:rPr>
            </w:pPr>
            <w:r w:rsidRPr="005133F5">
              <w:rPr>
                <w:rFonts w:cs="Arial"/>
                <w:bCs/>
                <w:sz w:val="18"/>
                <w:szCs w:val="18"/>
              </w:rPr>
              <w:t>Important dans la prise en charge des douleurs d’origine cancéreuse ou neuropathique</w:t>
            </w:r>
            <w:r w:rsidR="00C96277">
              <w:rPr>
                <w:rFonts w:cs="Arial"/>
                <w:bCs/>
                <w:sz w:val="18"/>
                <w:szCs w:val="18"/>
              </w:rPr>
              <w:t xml:space="preserve"> </w:t>
            </w:r>
            <w:r w:rsidRPr="005133F5">
              <w:rPr>
                <w:rFonts w:cs="Arial"/>
                <w:bCs/>
                <w:sz w:val="18"/>
                <w:szCs w:val="18"/>
              </w:rPr>
              <w:t>persistantes, intenses ou rebelles aux autres analgésiques</w:t>
            </w:r>
          </w:p>
        </w:tc>
      </w:tr>
      <w:tr w:rsidR="00052154" w14:paraId="5C9566CA" w14:textId="77777777" w:rsidTr="00FE1CFB">
        <w:trPr>
          <w:trHeight w:hRule="exact" w:val="1128"/>
        </w:trPr>
        <w:tc>
          <w:tcPr>
            <w:tcW w:w="3402" w:type="dxa"/>
            <w:tcBorders>
              <w:top w:val="single" w:sz="4" w:space="0" w:color="A6A6A6"/>
              <w:left w:val="single" w:sz="4" w:space="0" w:color="A6A6A6"/>
              <w:bottom w:val="single" w:sz="4" w:space="0" w:color="A6A6A6"/>
              <w:right w:val="single" w:sz="4" w:space="0" w:color="A6A6A6"/>
            </w:tcBorders>
            <w:vAlign w:val="center"/>
          </w:tcPr>
          <w:p w14:paraId="6B1CF8B1" w14:textId="77777777" w:rsidR="00052154" w:rsidRPr="00CC6F58" w:rsidRDefault="00052154" w:rsidP="001552DA">
            <w:pPr>
              <w:autoSpaceDE w:val="0"/>
              <w:autoSpaceDN w:val="0"/>
              <w:adjustRightInd w:val="0"/>
              <w:ind w:left="179" w:right="99"/>
              <w:jc w:val="left"/>
              <w:rPr>
                <w:rFonts w:cs="Arial"/>
                <w:b/>
                <w:sz w:val="18"/>
                <w:szCs w:val="18"/>
              </w:rPr>
            </w:pPr>
            <w:r w:rsidRPr="00CC6F58">
              <w:rPr>
                <w:rFonts w:cs="Arial"/>
                <w:b/>
                <w:sz w:val="18"/>
                <w:szCs w:val="18"/>
              </w:rPr>
              <w:t>ACTISKENAN gélule</w:t>
            </w:r>
          </w:p>
          <w:p w14:paraId="517D88B3" w14:textId="77777777" w:rsidR="00052154" w:rsidRPr="00CC6F58" w:rsidRDefault="00052154" w:rsidP="001552DA">
            <w:pPr>
              <w:autoSpaceDE w:val="0"/>
              <w:autoSpaceDN w:val="0"/>
              <w:adjustRightInd w:val="0"/>
              <w:ind w:left="179" w:right="99"/>
              <w:jc w:val="left"/>
              <w:rPr>
                <w:rFonts w:cs="Arial"/>
                <w:sz w:val="18"/>
                <w:szCs w:val="18"/>
              </w:rPr>
            </w:pPr>
            <w:r w:rsidRPr="00CC6F58">
              <w:rPr>
                <w:rFonts w:cs="Arial"/>
                <w:sz w:val="18"/>
                <w:szCs w:val="18"/>
              </w:rPr>
              <w:t>(sulfate de morphine)</w:t>
            </w:r>
          </w:p>
          <w:p w14:paraId="57F2122B" w14:textId="77777777" w:rsidR="00052154" w:rsidRPr="00C34E60" w:rsidRDefault="00052154" w:rsidP="001552DA">
            <w:pPr>
              <w:ind w:left="179" w:right="99"/>
              <w:jc w:val="left"/>
              <w:rPr>
                <w:rFonts w:cs="Arial"/>
                <w:i/>
                <w:sz w:val="18"/>
                <w:szCs w:val="18"/>
              </w:rPr>
            </w:pPr>
            <w:r w:rsidRPr="00C34E60">
              <w:rPr>
                <w:rFonts w:cs="Arial"/>
                <w:i/>
                <w:sz w:val="18"/>
                <w:szCs w:val="18"/>
              </w:rPr>
              <w:t>Bristol-Myers Squibb</w:t>
            </w:r>
          </w:p>
          <w:p w14:paraId="7CAFDEF9" w14:textId="77777777" w:rsidR="00052154" w:rsidRPr="00452431" w:rsidRDefault="00052154" w:rsidP="001552DA">
            <w:pPr>
              <w:autoSpaceDE w:val="0"/>
              <w:autoSpaceDN w:val="0"/>
              <w:adjustRightInd w:val="0"/>
              <w:spacing w:before="120"/>
              <w:ind w:left="179" w:right="99"/>
              <w:jc w:val="left"/>
              <w:rPr>
                <w:rFonts w:cs="Arial"/>
                <w:b/>
                <w:sz w:val="18"/>
                <w:szCs w:val="18"/>
              </w:rPr>
            </w:pPr>
            <w:r>
              <w:rPr>
                <w:rFonts w:cs="Arial"/>
                <w:b/>
                <w:sz w:val="18"/>
                <w:szCs w:val="18"/>
              </w:rPr>
              <w:t>A</w:t>
            </w:r>
            <w:r w:rsidRPr="00452431">
              <w:rPr>
                <w:rFonts w:cs="Arial"/>
                <w:b/>
                <w:sz w:val="18"/>
                <w:szCs w:val="18"/>
              </w:rPr>
              <w:t>dulte et l’enfant de plus de 6 mois</w:t>
            </w:r>
          </w:p>
        </w:tc>
        <w:tc>
          <w:tcPr>
            <w:tcW w:w="4819" w:type="dxa"/>
            <w:vMerge/>
            <w:tcBorders>
              <w:left w:val="single" w:sz="4" w:space="0" w:color="A6A6A6"/>
              <w:bottom w:val="single" w:sz="4" w:space="0" w:color="A6A6A6"/>
              <w:right w:val="single" w:sz="4" w:space="0" w:color="A6A6A6"/>
            </w:tcBorders>
            <w:vAlign w:val="center"/>
          </w:tcPr>
          <w:p w14:paraId="0209F11E" w14:textId="77777777" w:rsidR="00052154" w:rsidRPr="00452431" w:rsidRDefault="00052154" w:rsidP="006F7B2A">
            <w:pPr>
              <w:rPr>
                <w:rFonts w:cs="Arial"/>
                <w:sz w:val="18"/>
                <w:szCs w:val="18"/>
              </w:rPr>
            </w:pPr>
          </w:p>
        </w:tc>
        <w:tc>
          <w:tcPr>
            <w:tcW w:w="2170" w:type="dxa"/>
            <w:vMerge/>
            <w:tcBorders>
              <w:left w:val="single" w:sz="4" w:space="0" w:color="A6A6A6"/>
              <w:bottom w:val="single" w:sz="4" w:space="0" w:color="A6A6A6"/>
              <w:right w:val="single" w:sz="4" w:space="0" w:color="A6A6A6"/>
            </w:tcBorders>
          </w:tcPr>
          <w:p w14:paraId="5273CCB6" w14:textId="77777777" w:rsidR="00052154" w:rsidRPr="00452431" w:rsidRDefault="00052154" w:rsidP="00EA50C2">
            <w:pPr>
              <w:autoSpaceDE w:val="0"/>
              <w:autoSpaceDN w:val="0"/>
              <w:adjustRightInd w:val="0"/>
              <w:jc w:val="center"/>
              <w:rPr>
                <w:rFonts w:cs="Arial"/>
                <w:sz w:val="18"/>
                <w:szCs w:val="18"/>
              </w:rPr>
            </w:pPr>
          </w:p>
        </w:tc>
        <w:tc>
          <w:tcPr>
            <w:tcW w:w="4111" w:type="dxa"/>
            <w:vMerge/>
            <w:tcBorders>
              <w:left w:val="single" w:sz="4" w:space="0" w:color="A6A6A6"/>
              <w:bottom w:val="single" w:sz="4" w:space="0" w:color="A6A6A6"/>
              <w:right w:val="single" w:sz="4" w:space="0" w:color="A6A6A6"/>
            </w:tcBorders>
          </w:tcPr>
          <w:p w14:paraId="3F814088" w14:textId="77777777" w:rsidR="00052154" w:rsidRDefault="00052154" w:rsidP="005133F5">
            <w:pPr>
              <w:autoSpaceDE w:val="0"/>
              <w:autoSpaceDN w:val="0"/>
              <w:adjustRightInd w:val="0"/>
              <w:rPr>
                <w:rFonts w:cs="Arial"/>
                <w:bCs/>
                <w:sz w:val="18"/>
                <w:szCs w:val="18"/>
              </w:rPr>
            </w:pPr>
          </w:p>
        </w:tc>
      </w:tr>
      <w:tr w:rsidR="00052154" w:rsidRPr="001366D5" w14:paraId="2B31D612" w14:textId="77777777" w:rsidTr="00FE1CFB">
        <w:trPr>
          <w:trHeight w:hRule="exact" w:val="1130"/>
        </w:trPr>
        <w:tc>
          <w:tcPr>
            <w:tcW w:w="3402" w:type="dxa"/>
            <w:tcBorders>
              <w:top w:val="single" w:sz="4" w:space="0" w:color="A6A6A6"/>
              <w:left w:val="single" w:sz="4" w:space="0" w:color="A6A6A6"/>
              <w:bottom w:val="single" w:sz="4" w:space="0" w:color="A6A6A6"/>
              <w:right w:val="single" w:sz="4" w:space="0" w:color="A6A6A6"/>
            </w:tcBorders>
            <w:vAlign w:val="center"/>
          </w:tcPr>
          <w:p w14:paraId="6A9534DD" w14:textId="28979FB1" w:rsidR="00052154" w:rsidRPr="00452431" w:rsidRDefault="00D055FC" w:rsidP="001552DA">
            <w:pPr>
              <w:ind w:left="179" w:right="99"/>
              <w:jc w:val="left"/>
              <w:rPr>
                <w:rFonts w:cs="Arial"/>
                <w:b/>
                <w:sz w:val="18"/>
                <w:szCs w:val="18"/>
              </w:rPr>
            </w:pPr>
            <w:r>
              <w:rPr>
                <w:rFonts w:cs="Arial"/>
                <w:b/>
                <w:sz w:val="18"/>
                <w:szCs w:val="18"/>
              </w:rPr>
              <w:t xml:space="preserve">MOSCONTIN </w:t>
            </w:r>
            <w:r w:rsidR="00052154" w:rsidRPr="00452431">
              <w:rPr>
                <w:rFonts w:cs="Arial"/>
                <w:b/>
                <w:sz w:val="18"/>
                <w:szCs w:val="18"/>
              </w:rPr>
              <w:t xml:space="preserve"> comprimé </w:t>
            </w:r>
            <w:r>
              <w:rPr>
                <w:rFonts w:cs="Arial"/>
                <w:b/>
                <w:sz w:val="18"/>
                <w:szCs w:val="18"/>
              </w:rPr>
              <w:t>LP</w:t>
            </w:r>
          </w:p>
          <w:p w14:paraId="7919E82F" w14:textId="77777777" w:rsidR="00052154" w:rsidRPr="00452431" w:rsidRDefault="00052154" w:rsidP="001552DA">
            <w:pPr>
              <w:ind w:left="179" w:right="99"/>
              <w:jc w:val="left"/>
              <w:rPr>
                <w:rFonts w:cs="Arial"/>
                <w:sz w:val="18"/>
                <w:szCs w:val="18"/>
              </w:rPr>
            </w:pPr>
            <w:r w:rsidRPr="00452431">
              <w:rPr>
                <w:rFonts w:cs="Arial"/>
                <w:sz w:val="18"/>
                <w:szCs w:val="18"/>
              </w:rPr>
              <w:t>(sulfate de morphine)</w:t>
            </w:r>
          </w:p>
          <w:p w14:paraId="71ED5479" w14:textId="77777777" w:rsidR="00052154" w:rsidRPr="00452431" w:rsidRDefault="00052154" w:rsidP="001552DA">
            <w:pPr>
              <w:ind w:left="179" w:right="99"/>
              <w:jc w:val="left"/>
              <w:rPr>
                <w:rFonts w:cs="Arial"/>
                <w:i/>
                <w:sz w:val="18"/>
                <w:szCs w:val="18"/>
              </w:rPr>
            </w:pPr>
            <w:r w:rsidRPr="00452431">
              <w:rPr>
                <w:rFonts w:cs="Arial"/>
                <w:i/>
                <w:sz w:val="18"/>
                <w:szCs w:val="18"/>
              </w:rPr>
              <w:t>Mundipharma</w:t>
            </w:r>
          </w:p>
          <w:p w14:paraId="38CE9A79" w14:textId="77777777" w:rsidR="00052154" w:rsidRPr="00452431" w:rsidRDefault="00052154" w:rsidP="001552DA">
            <w:pPr>
              <w:spacing w:before="120"/>
              <w:ind w:left="179" w:right="99"/>
              <w:jc w:val="left"/>
              <w:rPr>
                <w:rFonts w:cs="Arial"/>
                <w:b/>
                <w:i/>
                <w:sz w:val="18"/>
                <w:szCs w:val="18"/>
              </w:rPr>
            </w:pPr>
            <w:r>
              <w:rPr>
                <w:rFonts w:cs="Arial"/>
                <w:b/>
                <w:sz w:val="18"/>
                <w:szCs w:val="18"/>
              </w:rPr>
              <w:t xml:space="preserve">Adulte et </w:t>
            </w:r>
            <w:r w:rsidRPr="00452431">
              <w:rPr>
                <w:rFonts w:cs="Arial"/>
                <w:b/>
                <w:sz w:val="18"/>
                <w:szCs w:val="18"/>
              </w:rPr>
              <w:t>enfant de plus de 6 ans</w:t>
            </w:r>
          </w:p>
        </w:tc>
        <w:tc>
          <w:tcPr>
            <w:tcW w:w="4819" w:type="dxa"/>
            <w:tcBorders>
              <w:top w:val="single" w:sz="4" w:space="0" w:color="A6A6A6"/>
              <w:left w:val="single" w:sz="4" w:space="0" w:color="A6A6A6"/>
              <w:bottom w:val="single" w:sz="4" w:space="0" w:color="A6A6A6"/>
              <w:right w:val="single" w:sz="4" w:space="0" w:color="A6A6A6"/>
            </w:tcBorders>
            <w:vAlign w:val="center"/>
          </w:tcPr>
          <w:p w14:paraId="6908D8D0" w14:textId="77777777" w:rsidR="00052154" w:rsidRPr="00452431" w:rsidRDefault="00052154" w:rsidP="00DE00DE">
            <w:pPr>
              <w:ind w:left="43" w:right="98"/>
              <w:rPr>
                <w:rFonts w:cs="Arial"/>
                <w:sz w:val="18"/>
                <w:szCs w:val="18"/>
              </w:rPr>
            </w:pPr>
            <w:r w:rsidRPr="00452431">
              <w:rPr>
                <w:rFonts w:cs="Arial"/>
                <w:sz w:val="18"/>
                <w:szCs w:val="18"/>
              </w:rPr>
              <w:t xml:space="preserve">Douleurs persistantes intenses ou </w:t>
            </w:r>
            <w:r w:rsidRPr="00452431">
              <w:rPr>
                <w:rFonts w:cs="Arial"/>
                <w:bCs/>
                <w:sz w:val="18"/>
                <w:szCs w:val="18"/>
              </w:rPr>
              <w:t xml:space="preserve">rebelles aux antalgiques de niveau plus faible, en </w:t>
            </w:r>
            <w:r w:rsidRPr="00452431">
              <w:rPr>
                <w:rFonts w:cs="Arial"/>
                <w:sz w:val="18"/>
                <w:szCs w:val="18"/>
              </w:rPr>
              <w:t>particulier douleurs d'origine cancéreuse.</w:t>
            </w:r>
          </w:p>
        </w:tc>
        <w:tc>
          <w:tcPr>
            <w:tcW w:w="2170" w:type="dxa"/>
            <w:vMerge w:val="restart"/>
            <w:tcBorders>
              <w:top w:val="single" w:sz="4" w:space="0" w:color="A6A6A6"/>
              <w:left w:val="single" w:sz="4" w:space="0" w:color="A6A6A6"/>
              <w:right w:val="single" w:sz="4" w:space="0" w:color="A6A6A6"/>
            </w:tcBorders>
            <w:vAlign w:val="center"/>
          </w:tcPr>
          <w:p w14:paraId="1372A0FF" w14:textId="77777777" w:rsidR="00052154" w:rsidRPr="00452431" w:rsidRDefault="00052154" w:rsidP="00EA50C2">
            <w:pPr>
              <w:autoSpaceDE w:val="0"/>
              <w:autoSpaceDN w:val="0"/>
              <w:adjustRightInd w:val="0"/>
              <w:jc w:val="center"/>
              <w:rPr>
                <w:rFonts w:cs="Arial"/>
                <w:sz w:val="18"/>
                <w:szCs w:val="18"/>
              </w:rPr>
            </w:pPr>
            <w:r w:rsidRPr="00452431">
              <w:rPr>
                <w:rFonts w:cs="Arial"/>
                <w:sz w:val="18"/>
                <w:szCs w:val="18"/>
              </w:rPr>
              <w:t>07/09/2016</w:t>
            </w:r>
          </w:p>
          <w:p w14:paraId="2F970CA9" w14:textId="77777777" w:rsidR="00052154" w:rsidRDefault="00052154" w:rsidP="00EA50C2">
            <w:pPr>
              <w:autoSpaceDE w:val="0"/>
              <w:autoSpaceDN w:val="0"/>
              <w:adjustRightInd w:val="0"/>
              <w:jc w:val="center"/>
              <w:rPr>
                <w:rFonts w:cs="Arial"/>
                <w:sz w:val="18"/>
                <w:szCs w:val="18"/>
              </w:rPr>
            </w:pPr>
            <w:r w:rsidRPr="00452431">
              <w:rPr>
                <w:rFonts w:cs="Arial"/>
                <w:sz w:val="18"/>
                <w:szCs w:val="18"/>
              </w:rPr>
              <w:t>RI</w:t>
            </w:r>
          </w:p>
          <w:p w14:paraId="23D341B9" w14:textId="77777777" w:rsidR="00C84278" w:rsidRDefault="00C84278" w:rsidP="00EA50C2">
            <w:pPr>
              <w:autoSpaceDE w:val="0"/>
              <w:autoSpaceDN w:val="0"/>
              <w:adjustRightInd w:val="0"/>
              <w:jc w:val="center"/>
              <w:rPr>
                <w:rFonts w:cs="Arial"/>
                <w:sz w:val="18"/>
                <w:szCs w:val="18"/>
              </w:rPr>
            </w:pPr>
          </w:p>
          <w:p w14:paraId="50CD87CF" w14:textId="4ED75204" w:rsidR="00052154" w:rsidRPr="00452431" w:rsidRDefault="00C84278" w:rsidP="00EA50C2">
            <w:pPr>
              <w:autoSpaceDE w:val="0"/>
              <w:autoSpaceDN w:val="0"/>
              <w:adjustRightInd w:val="0"/>
              <w:jc w:val="center"/>
              <w:rPr>
                <w:rFonts w:cs="Arial"/>
                <w:sz w:val="18"/>
                <w:szCs w:val="18"/>
              </w:rPr>
            </w:pPr>
            <w:r>
              <w:rPr>
                <w:rFonts w:cs="Arial"/>
                <w:sz w:val="18"/>
                <w:szCs w:val="18"/>
              </w:rPr>
              <w:t>Réévaluation mars 2014</w:t>
            </w:r>
          </w:p>
        </w:tc>
        <w:tc>
          <w:tcPr>
            <w:tcW w:w="4111" w:type="dxa"/>
            <w:vMerge w:val="restart"/>
            <w:tcBorders>
              <w:top w:val="single" w:sz="4" w:space="0" w:color="A6A6A6"/>
              <w:left w:val="single" w:sz="4" w:space="0" w:color="A6A6A6"/>
              <w:right w:val="single" w:sz="4" w:space="0" w:color="A6A6A6"/>
            </w:tcBorders>
            <w:vAlign w:val="center"/>
          </w:tcPr>
          <w:p w14:paraId="6610BD0F" w14:textId="5D16CD85" w:rsidR="00052154" w:rsidRPr="00EA50C2" w:rsidRDefault="00052154" w:rsidP="00EA50C2">
            <w:pPr>
              <w:autoSpaceDE w:val="0"/>
              <w:autoSpaceDN w:val="0"/>
              <w:adjustRightInd w:val="0"/>
              <w:ind w:left="44" w:right="142"/>
              <w:rPr>
                <w:rFonts w:cs="Arial"/>
                <w:bCs/>
                <w:sz w:val="18"/>
                <w:szCs w:val="18"/>
              </w:rPr>
            </w:pPr>
            <w:r w:rsidRPr="005133F5">
              <w:rPr>
                <w:rFonts w:cs="Arial"/>
                <w:bCs/>
                <w:sz w:val="18"/>
                <w:szCs w:val="18"/>
              </w:rPr>
              <w:t>Important dans la prise en charge des douleurs intenses et/ou rebelles aux antalgiques</w:t>
            </w:r>
            <w:r w:rsidR="00DE00DE">
              <w:rPr>
                <w:rFonts w:cs="Arial"/>
                <w:bCs/>
                <w:sz w:val="18"/>
                <w:szCs w:val="18"/>
              </w:rPr>
              <w:t xml:space="preserve"> </w:t>
            </w:r>
            <w:r w:rsidRPr="005133F5">
              <w:rPr>
                <w:rFonts w:cs="Arial"/>
                <w:bCs/>
                <w:sz w:val="18"/>
                <w:szCs w:val="18"/>
              </w:rPr>
              <w:t>de niveau plus faible, des douleurs sévères d’origine cancéreuse, des douleurs aiguës</w:t>
            </w:r>
            <w:r w:rsidR="00DE00DE">
              <w:rPr>
                <w:rFonts w:cs="Arial"/>
                <w:bCs/>
                <w:sz w:val="18"/>
                <w:szCs w:val="18"/>
              </w:rPr>
              <w:t xml:space="preserve"> </w:t>
            </w:r>
            <w:r w:rsidRPr="005133F5">
              <w:rPr>
                <w:rFonts w:cs="Arial"/>
                <w:bCs/>
                <w:sz w:val="18"/>
                <w:szCs w:val="18"/>
              </w:rPr>
              <w:t xml:space="preserve">sévères non </w:t>
            </w:r>
            <w:r w:rsidRPr="00D42BB6">
              <w:rPr>
                <w:rFonts w:cs="Arial"/>
                <w:bCs/>
                <w:sz w:val="18"/>
                <w:szCs w:val="18"/>
              </w:rPr>
              <w:t>cancéreuses (douleurs post-opératoires), et des douleurs chroniques</w:t>
            </w:r>
            <w:r w:rsidR="00DE00DE" w:rsidRPr="00D42BB6">
              <w:rPr>
                <w:rFonts w:cs="Arial"/>
                <w:bCs/>
                <w:sz w:val="18"/>
                <w:szCs w:val="18"/>
              </w:rPr>
              <w:t xml:space="preserve"> </w:t>
            </w:r>
            <w:r w:rsidRPr="00D42BB6">
              <w:rPr>
                <w:rFonts w:cs="Arial"/>
                <w:bCs/>
                <w:sz w:val="18"/>
                <w:szCs w:val="18"/>
              </w:rPr>
              <w:t>sévères d’origine neuropathique.</w:t>
            </w:r>
          </w:p>
        </w:tc>
      </w:tr>
      <w:tr w:rsidR="00052154" w:rsidRPr="001366D5" w14:paraId="35CB5F97" w14:textId="77777777" w:rsidTr="00FE1CFB">
        <w:trPr>
          <w:trHeight w:hRule="exact" w:val="1132"/>
        </w:trPr>
        <w:tc>
          <w:tcPr>
            <w:tcW w:w="3402" w:type="dxa"/>
            <w:tcBorders>
              <w:top w:val="single" w:sz="4" w:space="0" w:color="A6A6A6"/>
              <w:left w:val="single" w:sz="4" w:space="0" w:color="A6A6A6"/>
              <w:bottom w:val="single" w:sz="4" w:space="0" w:color="A6A6A6"/>
              <w:right w:val="single" w:sz="4" w:space="0" w:color="A6A6A6"/>
            </w:tcBorders>
            <w:vAlign w:val="center"/>
          </w:tcPr>
          <w:p w14:paraId="31EE406A" w14:textId="77777777" w:rsidR="00052154" w:rsidRPr="00CC6F58" w:rsidRDefault="00052154" w:rsidP="001552DA">
            <w:pPr>
              <w:ind w:left="179" w:right="99"/>
              <w:jc w:val="left"/>
              <w:rPr>
                <w:rFonts w:cs="Arial"/>
                <w:b/>
                <w:sz w:val="18"/>
                <w:szCs w:val="18"/>
              </w:rPr>
            </w:pPr>
            <w:r w:rsidRPr="00CC6F58">
              <w:rPr>
                <w:rFonts w:cs="Arial"/>
                <w:b/>
                <w:sz w:val="18"/>
                <w:szCs w:val="18"/>
              </w:rPr>
              <w:t xml:space="preserve">SEVREDOL comprimé </w:t>
            </w:r>
          </w:p>
          <w:p w14:paraId="1C29EE1D" w14:textId="77777777" w:rsidR="00052154" w:rsidRPr="00CC6F58" w:rsidRDefault="00052154" w:rsidP="001552DA">
            <w:pPr>
              <w:ind w:left="179" w:right="99"/>
              <w:jc w:val="left"/>
              <w:rPr>
                <w:rFonts w:cs="Arial"/>
                <w:sz w:val="18"/>
                <w:szCs w:val="18"/>
              </w:rPr>
            </w:pPr>
            <w:r w:rsidRPr="00CC6F58">
              <w:rPr>
                <w:rFonts w:cs="Arial"/>
                <w:sz w:val="18"/>
                <w:szCs w:val="18"/>
              </w:rPr>
              <w:t>(sulfate de morphine)</w:t>
            </w:r>
          </w:p>
          <w:p w14:paraId="0FA08C94" w14:textId="77777777" w:rsidR="00052154" w:rsidRDefault="00052154" w:rsidP="001552DA">
            <w:pPr>
              <w:autoSpaceDE w:val="0"/>
              <w:autoSpaceDN w:val="0"/>
              <w:adjustRightInd w:val="0"/>
              <w:ind w:left="179" w:right="99"/>
              <w:jc w:val="left"/>
              <w:rPr>
                <w:rFonts w:cs="Arial"/>
                <w:i/>
                <w:sz w:val="18"/>
                <w:szCs w:val="18"/>
              </w:rPr>
            </w:pPr>
            <w:r w:rsidRPr="00CC6F58">
              <w:rPr>
                <w:rFonts w:cs="Arial"/>
                <w:i/>
                <w:sz w:val="18"/>
                <w:szCs w:val="18"/>
              </w:rPr>
              <w:t>Mundipharma</w:t>
            </w:r>
          </w:p>
          <w:p w14:paraId="1D3DCC87" w14:textId="77777777" w:rsidR="00052154" w:rsidRPr="00452431" w:rsidRDefault="00052154" w:rsidP="001552DA">
            <w:pPr>
              <w:spacing w:before="120"/>
              <w:ind w:left="179" w:right="99"/>
              <w:jc w:val="left"/>
              <w:rPr>
                <w:rFonts w:cs="Arial"/>
                <w:b/>
                <w:sz w:val="18"/>
                <w:szCs w:val="18"/>
              </w:rPr>
            </w:pPr>
            <w:r>
              <w:rPr>
                <w:rFonts w:cs="Arial"/>
                <w:b/>
                <w:sz w:val="18"/>
                <w:szCs w:val="18"/>
              </w:rPr>
              <w:t xml:space="preserve">Adulte et </w:t>
            </w:r>
            <w:r w:rsidRPr="00CC6F58">
              <w:rPr>
                <w:rFonts w:cs="Arial"/>
                <w:b/>
                <w:sz w:val="18"/>
                <w:szCs w:val="18"/>
              </w:rPr>
              <w:t>enfant de plus de 6 ans</w:t>
            </w:r>
          </w:p>
        </w:tc>
        <w:tc>
          <w:tcPr>
            <w:tcW w:w="4819" w:type="dxa"/>
            <w:tcBorders>
              <w:top w:val="single" w:sz="4" w:space="0" w:color="A6A6A6"/>
              <w:left w:val="single" w:sz="4" w:space="0" w:color="A6A6A6"/>
              <w:bottom w:val="single" w:sz="4" w:space="0" w:color="A6A6A6"/>
              <w:right w:val="single" w:sz="4" w:space="0" w:color="A6A6A6"/>
            </w:tcBorders>
            <w:vAlign w:val="center"/>
          </w:tcPr>
          <w:p w14:paraId="66DC2AD0" w14:textId="77777777" w:rsidR="00052154" w:rsidRDefault="00052154" w:rsidP="00DE00DE">
            <w:pPr>
              <w:ind w:left="43" w:right="98"/>
              <w:rPr>
                <w:rFonts w:cs="Arial"/>
                <w:sz w:val="18"/>
                <w:szCs w:val="18"/>
              </w:rPr>
            </w:pPr>
            <w:r w:rsidRPr="00452431">
              <w:rPr>
                <w:rFonts w:cs="Arial"/>
                <w:sz w:val="18"/>
                <w:szCs w:val="18"/>
              </w:rPr>
              <w:t xml:space="preserve">Douleurs intenses ou </w:t>
            </w:r>
            <w:r w:rsidRPr="00452431">
              <w:rPr>
                <w:rFonts w:cs="Arial"/>
                <w:bCs/>
                <w:sz w:val="18"/>
                <w:szCs w:val="18"/>
              </w:rPr>
              <w:t>reb</w:t>
            </w:r>
            <w:r w:rsidR="00DE00DE">
              <w:rPr>
                <w:rFonts w:cs="Arial"/>
                <w:bCs/>
                <w:sz w:val="18"/>
                <w:szCs w:val="18"/>
              </w:rPr>
              <w:t xml:space="preserve">elles aux antalgiques de niveau </w:t>
            </w:r>
            <w:r w:rsidRPr="00452431">
              <w:rPr>
                <w:rFonts w:cs="Arial"/>
                <w:bCs/>
                <w:sz w:val="18"/>
                <w:szCs w:val="18"/>
              </w:rPr>
              <w:t xml:space="preserve">plus faible, en </w:t>
            </w:r>
            <w:r w:rsidRPr="00452431">
              <w:rPr>
                <w:rFonts w:cs="Arial"/>
                <w:sz w:val="18"/>
                <w:szCs w:val="18"/>
              </w:rPr>
              <w:t>particulier douleurs d'origine cancéreuse.</w:t>
            </w:r>
          </w:p>
        </w:tc>
        <w:tc>
          <w:tcPr>
            <w:tcW w:w="2170" w:type="dxa"/>
            <w:vMerge/>
            <w:tcBorders>
              <w:left w:val="single" w:sz="4" w:space="0" w:color="A6A6A6"/>
              <w:bottom w:val="single" w:sz="4" w:space="0" w:color="A6A6A6"/>
              <w:right w:val="single" w:sz="4" w:space="0" w:color="A6A6A6"/>
            </w:tcBorders>
          </w:tcPr>
          <w:p w14:paraId="27634A40" w14:textId="77777777" w:rsidR="00052154" w:rsidRPr="00452431" w:rsidRDefault="00052154" w:rsidP="00EA50C2">
            <w:pPr>
              <w:autoSpaceDE w:val="0"/>
              <w:autoSpaceDN w:val="0"/>
              <w:adjustRightInd w:val="0"/>
              <w:jc w:val="center"/>
              <w:rPr>
                <w:rFonts w:cs="Arial"/>
                <w:sz w:val="18"/>
                <w:szCs w:val="18"/>
              </w:rPr>
            </w:pPr>
          </w:p>
        </w:tc>
        <w:tc>
          <w:tcPr>
            <w:tcW w:w="4111" w:type="dxa"/>
            <w:vMerge/>
            <w:tcBorders>
              <w:left w:val="single" w:sz="4" w:space="0" w:color="A6A6A6"/>
              <w:bottom w:val="single" w:sz="4" w:space="0" w:color="A6A6A6"/>
              <w:right w:val="single" w:sz="4" w:space="0" w:color="A6A6A6"/>
            </w:tcBorders>
          </w:tcPr>
          <w:p w14:paraId="2724472D" w14:textId="77777777" w:rsidR="00052154" w:rsidRPr="00452431" w:rsidRDefault="00052154" w:rsidP="006F7B2A">
            <w:pPr>
              <w:autoSpaceDE w:val="0"/>
              <w:autoSpaceDN w:val="0"/>
              <w:adjustRightInd w:val="0"/>
              <w:jc w:val="center"/>
              <w:rPr>
                <w:rFonts w:cs="Arial"/>
                <w:bCs/>
                <w:color w:val="000000"/>
                <w:sz w:val="18"/>
                <w:szCs w:val="18"/>
              </w:rPr>
            </w:pPr>
          </w:p>
        </w:tc>
      </w:tr>
      <w:tr w:rsidR="00D94B09" w:rsidRPr="001366D5" w14:paraId="368779EB" w14:textId="77777777" w:rsidTr="00FE1CFB">
        <w:trPr>
          <w:trHeight w:hRule="exact" w:val="1148"/>
        </w:trPr>
        <w:tc>
          <w:tcPr>
            <w:tcW w:w="3402" w:type="dxa"/>
            <w:tcBorders>
              <w:top w:val="single" w:sz="4" w:space="0" w:color="A6A6A6"/>
              <w:left w:val="single" w:sz="4" w:space="0" w:color="A6A6A6"/>
              <w:bottom w:val="single" w:sz="4" w:space="0" w:color="A6A6A6"/>
              <w:right w:val="single" w:sz="4" w:space="0" w:color="A6A6A6"/>
            </w:tcBorders>
            <w:vAlign w:val="center"/>
          </w:tcPr>
          <w:p w14:paraId="561F0051" w14:textId="77777777" w:rsidR="00D94B09" w:rsidRPr="00FE7D0F" w:rsidRDefault="00D94B09" w:rsidP="001552DA">
            <w:pPr>
              <w:ind w:left="179" w:right="96"/>
              <w:rPr>
                <w:rFonts w:cs="Arial"/>
                <w:b/>
                <w:sz w:val="18"/>
                <w:szCs w:val="18"/>
              </w:rPr>
            </w:pPr>
            <w:r w:rsidRPr="00FE7D0F">
              <w:rPr>
                <w:rFonts w:cs="Arial"/>
                <w:b/>
                <w:sz w:val="18"/>
                <w:szCs w:val="18"/>
              </w:rPr>
              <w:t>ORAMORPH solution buv, cp LP</w:t>
            </w:r>
          </w:p>
          <w:p w14:paraId="7E5C02CE" w14:textId="77777777" w:rsidR="00D94B09" w:rsidRPr="00CC6F58" w:rsidRDefault="00D94B09" w:rsidP="001552DA">
            <w:pPr>
              <w:ind w:left="179" w:right="99"/>
              <w:rPr>
                <w:rFonts w:cs="Arial"/>
                <w:sz w:val="18"/>
                <w:szCs w:val="18"/>
              </w:rPr>
            </w:pPr>
            <w:r w:rsidRPr="00CC6F58">
              <w:rPr>
                <w:rFonts w:cs="Arial"/>
                <w:sz w:val="18"/>
                <w:szCs w:val="18"/>
              </w:rPr>
              <w:t>(sulfate de morphine)</w:t>
            </w:r>
          </w:p>
          <w:p w14:paraId="2AE4A1CE" w14:textId="77777777" w:rsidR="00D94B09" w:rsidRPr="00CC6F58" w:rsidRDefault="00D94B09" w:rsidP="001552DA">
            <w:pPr>
              <w:ind w:left="179" w:right="99"/>
              <w:rPr>
                <w:rFonts w:cs="Arial"/>
                <w:i/>
                <w:sz w:val="18"/>
                <w:szCs w:val="18"/>
              </w:rPr>
            </w:pPr>
            <w:r w:rsidRPr="00CC6F58">
              <w:rPr>
                <w:rFonts w:cs="Arial"/>
                <w:i/>
                <w:sz w:val="18"/>
                <w:szCs w:val="18"/>
              </w:rPr>
              <w:t>L. Molteni &amp; C. dei F.lli Alitti SpA</w:t>
            </w:r>
          </w:p>
          <w:p w14:paraId="2020372D" w14:textId="77777777" w:rsidR="00D94B09" w:rsidRPr="00CC6F58" w:rsidRDefault="00D94B09" w:rsidP="001552DA">
            <w:pPr>
              <w:spacing w:before="120"/>
              <w:ind w:left="179" w:right="99"/>
              <w:rPr>
                <w:rFonts w:cs="Arial"/>
                <w:b/>
                <w:sz w:val="18"/>
                <w:szCs w:val="18"/>
              </w:rPr>
            </w:pPr>
            <w:r>
              <w:rPr>
                <w:rFonts w:cs="Arial"/>
                <w:b/>
                <w:bCs/>
                <w:sz w:val="18"/>
                <w:szCs w:val="18"/>
              </w:rPr>
              <w:t xml:space="preserve">Adulte et </w:t>
            </w:r>
            <w:r w:rsidRPr="000D7BBD">
              <w:rPr>
                <w:rFonts w:cs="Arial"/>
                <w:b/>
                <w:bCs/>
                <w:sz w:val="18"/>
                <w:szCs w:val="18"/>
              </w:rPr>
              <w:t>enfant de plus de 6 mois.</w:t>
            </w:r>
          </w:p>
        </w:tc>
        <w:tc>
          <w:tcPr>
            <w:tcW w:w="4819" w:type="dxa"/>
            <w:tcBorders>
              <w:top w:val="single" w:sz="4" w:space="0" w:color="A6A6A6"/>
              <w:left w:val="single" w:sz="4" w:space="0" w:color="A6A6A6"/>
              <w:bottom w:val="single" w:sz="4" w:space="0" w:color="A6A6A6"/>
              <w:right w:val="single" w:sz="4" w:space="0" w:color="A6A6A6"/>
            </w:tcBorders>
            <w:vAlign w:val="center"/>
          </w:tcPr>
          <w:p w14:paraId="0EF17CF0" w14:textId="77777777" w:rsidR="00D94B09" w:rsidRPr="00452431" w:rsidRDefault="00D94B09" w:rsidP="00DE00DE">
            <w:pPr>
              <w:ind w:left="43" w:right="98"/>
              <w:rPr>
                <w:rFonts w:cs="Arial"/>
                <w:sz w:val="18"/>
                <w:szCs w:val="18"/>
              </w:rPr>
            </w:pPr>
            <w:r w:rsidRPr="005133F5">
              <w:rPr>
                <w:rFonts w:cs="Arial"/>
                <w:sz w:val="18"/>
                <w:szCs w:val="18"/>
              </w:rPr>
              <w:t>Douleurs persistantes intenses</w:t>
            </w:r>
            <w:r w:rsidRPr="00452431">
              <w:rPr>
                <w:rFonts w:cs="Arial"/>
                <w:sz w:val="18"/>
                <w:szCs w:val="18"/>
              </w:rPr>
              <w:t xml:space="preserve"> ou </w:t>
            </w:r>
            <w:r w:rsidRPr="00452431">
              <w:rPr>
                <w:rFonts w:cs="Arial"/>
                <w:bCs/>
                <w:sz w:val="18"/>
                <w:szCs w:val="18"/>
              </w:rPr>
              <w:t xml:space="preserve">rebelles aux </w:t>
            </w:r>
            <w:r>
              <w:rPr>
                <w:rFonts w:cs="Arial"/>
                <w:bCs/>
                <w:sz w:val="18"/>
                <w:szCs w:val="18"/>
              </w:rPr>
              <w:t xml:space="preserve">autres </w:t>
            </w:r>
            <w:r w:rsidRPr="00452431">
              <w:rPr>
                <w:rFonts w:cs="Arial"/>
                <w:bCs/>
                <w:sz w:val="18"/>
                <w:szCs w:val="18"/>
              </w:rPr>
              <w:t xml:space="preserve">antalgiques de niveau plus faible, en </w:t>
            </w:r>
            <w:r w:rsidRPr="00452431">
              <w:rPr>
                <w:rFonts w:cs="Arial"/>
                <w:sz w:val="18"/>
                <w:szCs w:val="18"/>
              </w:rPr>
              <w:t>particulier douleurs d'origine cancéreuse.</w:t>
            </w:r>
          </w:p>
        </w:tc>
        <w:tc>
          <w:tcPr>
            <w:tcW w:w="2170" w:type="dxa"/>
            <w:tcBorders>
              <w:top w:val="single" w:sz="4" w:space="0" w:color="A6A6A6"/>
              <w:left w:val="single" w:sz="4" w:space="0" w:color="A6A6A6"/>
              <w:bottom w:val="single" w:sz="4" w:space="0" w:color="A6A6A6"/>
              <w:right w:val="single" w:sz="4" w:space="0" w:color="A6A6A6"/>
            </w:tcBorders>
            <w:vAlign w:val="center"/>
          </w:tcPr>
          <w:p w14:paraId="6152B084" w14:textId="77777777" w:rsidR="00D94B09" w:rsidRPr="00CC6F58" w:rsidRDefault="00271A9F" w:rsidP="00EA50C2">
            <w:pPr>
              <w:jc w:val="center"/>
              <w:rPr>
                <w:rFonts w:cs="Arial"/>
                <w:sz w:val="18"/>
                <w:szCs w:val="18"/>
              </w:rPr>
            </w:pPr>
            <w:r>
              <w:rPr>
                <w:rFonts w:cs="Arial"/>
                <w:sz w:val="18"/>
                <w:szCs w:val="18"/>
              </w:rPr>
              <w:t>0</w:t>
            </w:r>
            <w:r w:rsidR="00D94B09">
              <w:rPr>
                <w:rFonts w:cs="Arial"/>
                <w:sz w:val="18"/>
                <w:szCs w:val="18"/>
              </w:rPr>
              <w:t>1/12/</w:t>
            </w:r>
            <w:r w:rsidR="00D94B09" w:rsidRPr="00CC6F58">
              <w:rPr>
                <w:rFonts w:cs="Arial"/>
                <w:sz w:val="18"/>
                <w:szCs w:val="18"/>
              </w:rPr>
              <w:t>2010</w:t>
            </w:r>
          </w:p>
          <w:p w14:paraId="3C4AB409" w14:textId="77777777" w:rsidR="00D94B09" w:rsidRDefault="00D94B09" w:rsidP="00EA50C2">
            <w:pPr>
              <w:autoSpaceDE w:val="0"/>
              <w:autoSpaceDN w:val="0"/>
              <w:adjustRightInd w:val="0"/>
              <w:jc w:val="center"/>
              <w:rPr>
                <w:rFonts w:cs="Arial"/>
                <w:sz w:val="18"/>
                <w:szCs w:val="18"/>
              </w:rPr>
            </w:pPr>
            <w:r w:rsidRPr="00CC6F58">
              <w:rPr>
                <w:rFonts w:cs="Arial"/>
                <w:sz w:val="18"/>
                <w:szCs w:val="18"/>
              </w:rPr>
              <w:t>RI</w:t>
            </w:r>
          </w:p>
          <w:p w14:paraId="65A4E273" w14:textId="77777777" w:rsidR="00EA50C2" w:rsidRDefault="00EA50C2" w:rsidP="00EA50C2">
            <w:pPr>
              <w:autoSpaceDE w:val="0"/>
              <w:autoSpaceDN w:val="0"/>
              <w:adjustRightInd w:val="0"/>
              <w:jc w:val="center"/>
              <w:rPr>
                <w:rFonts w:cs="Arial"/>
                <w:sz w:val="18"/>
                <w:szCs w:val="18"/>
              </w:rPr>
            </w:pPr>
          </w:p>
          <w:p w14:paraId="18E98F52" w14:textId="1BDBF327" w:rsidR="00D94B09" w:rsidRPr="00452431" w:rsidRDefault="00A0062C" w:rsidP="00EA50C2">
            <w:pPr>
              <w:autoSpaceDE w:val="0"/>
              <w:autoSpaceDN w:val="0"/>
              <w:adjustRightInd w:val="0"/>
              <w:jc w:val="center"/>
              <w:rPr>
                <w:rFonts w:cs="Arial"/>
                <w:sz w:val="18"/>
                <w:szCs w:val="18"/>
              </w:rPr>
            </w:pPr>
            <w:r>
              <w:rPr>
                <w:rFonts w:cs="Arial"/>
                <w:sz w:val="18"/>
                <w:szCs w:val="18"/>
              </w:rPr>
              <w:t>R</w:t>
            </w:r>
            <w:r w:rsidR="00271A9F">
              <w:rPr>
                <w:rFonts w:cs="Arial"/>
                <w:sz w:val="18"/>
                <w:szCs w:val="18"/>
              </w:rPr>
              <w:t>ééval</w:t>
            </w:r>
            <w:r w:rsidR="008B1CC0">
              <w:rPr>
                <w:rFonts w:cs="Arial"/>
                <w:sz w:val="18"/>
                <w:szCs w:val="18"/>
              </w:rPr>
              <w:t xml:space="preserve">uation </w:t>
            </w:r>
            <w:r w:rsidR="00271A9F">
              <w:rPr>
                <w:rFonts w:cs="Arial"/>
                <w:sz w:val="18"/>
                <w:szCs w:val="18"/>
              </w:rPr>
              <w:t>mars 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60123BA8" w14:textId="3572301B" w:rsidR="00D94B09" w:rsidRPr="00452431" w:rsidRDefault="00D94B09" w:rsidP="00EA50C2">
            <w:pPr>
              <w:autoSpaceDE w:val="0"/>
              <w:autoSpaceDN w:val="0"/>
              <w:adjustRightInd w:val="0"/>
              <w:jc w:val="center"/>
              <w:rPr>
                <w:rFonts w:cs="Arial"/>
                <w:bCs/>
                <w:color w:val="000000"/>
                <w:sz w:val="18"/>
                <w:szCs w:val="18"/>
              </w:rPr>
            </w:pPr>
            <w:r w:rsidRPr="00C34E60">
              <w:rPr>
                <w:rFonts w:cs="Arial"/>
                <w:bCs/>
                <w:color w:val="000000"/>
                <w:sz w:val="18"/>
                <w:szCs w:val="18"/>
              </w:rPr>
              <w:t>Important</w:t>
            </w:r>
          </w:p>
        </w:tc>
      </w:tr>
      <w:tr w:rsidR="0095765D" w:rsidRPr="001366D5" w14:paraId="55DEEA6A" w14:textId="77777777" w:rsidTr="00FE1CFB">
        <w:trPr>
          <w:trHeight w:val="1686"/>
        </w:trPr>
        <w:tc>
          <w:tcPr>
            <w:tcW w:w="3402" w:type="dxa"/>
            <w:tcBorders>
              <w:top w:val="single" w:sz="4" w:space="0" w:color="A6A6A6"/>
              <w:left w:val="single" w:sz="4" w:space="0" w:color="A6A6A6"/>
              <w:bottom w:val="single" w:sz="4" w:space="0" w:color="A6A6A6"/>
              <w:right w:val="single" w:sz="4" w:space="0" w:color="A6A6A6"/>
            </w:tcBorders>
            <w:vAlign w:val="center"/>
          </w:tcPr>
          <w:p w14:paraId="312E74D5" w14:textId="77777777" w:rsidR="0095765D" w:rsidRDefault="0095765D" w:rsidP="001552DA">
            <w:pPr>
              <w:ind w:left="179" w:right="96"/>
              <w:jc w:val="left"/>
              <w:rPr>
                <w:rFonts w:cs="Arial"/>
                <w:b/>
                <w:sz w:val="18"/>
                <w:szCs w:val="18"/>
              </w:rPr>
            </w:pPr>
            <w:r w:rsidRPr="00CC6F58">
              <w:rPr>
                <w:rFonts w:cs="Arial"/>
                <w:b/>
                <w:sz w:val="18"/>
                <w:szCs w:val="18"/>
              </w:rPr>
              <w:t xml:space="preserve">MORPHINE (SULFATE) </w:t>
            </w:r>
          </w:p>
          <w:p w14:paraId="065CF6B4" w14:textId="3EC2C946" w:rsidR="0095765D" w:rsidRPr="00CC6F58" w:rsidRDefault="0095765D" w:rsidP="001552DA">
            <w:pPr>
              <w:ind w:left="179" w:right="96"/>
              <w:jc w:val="left"/>
              <w:rPr>
                <w:rFonts w:cs="Arial"/>
                <w:b/>
                <w:sz w:val="18"/>
                <w:szCs w:val="18"/>
              </w:rPr>
            </w:pPr>
            <w:r w:rsidRPr="00CC6F58">
              <w:rPr>
                <w:rFonts w:cs="Arial"/>
                <w:b/>
                <w:sz w:val="18"/>
                <w:szCs w:val="18"/>
              </w:rPr>
              <w:t xml:space="preserve">LAVOISIER </w:t>
            </w:r>
            <w:r w:rsidRPr="00B54237">
              <w:rPr>
                <w:rFonts w:cs="Arial"/>
                <w:b/>
                <w:sz w:val="18"/>
                <w:szCs w:val="18"/>
              </w:rPr>
              <w:t>inj</w:t>
            </w:r>
            <w:r w:rsidR="00B54237" w:rsidRPr="00B54237">
              <w:rPr>
                <w:rFonts w:cs="Arial"/>
                <w:b/>
                <w:sz w:val="18"/>
                <w:szCs w:val="18"/>
              </w:rPr>
              <w:t>ectable</w:t>
            </w:r>
          </w:p>
          <w:p w14:paraId="3771120F" w14:textId="77777777" w:rsidR="0095765D" w:rsidRPr="00CC6F58" w:rsidRDefault="0095765D" w:rsidP="001552DA">
            <w:pPr>
              <w:ind w:left="179" w:right="99"/>
              <w:jc w:val="left"/>
              <w:rPr>
                <w:rFonts w:cs="Arial"/>
                <w:sz w:val="18"/>
                <w:szCs w:val="18"/>
              </w:rPr>
            </w:pPr>
            <w:r w:rsidRPr="00CC6F58">
              <w:rPr>
                <w:rFonts w:cs="Arial"/>
                <w:sz w:val="18"/>
                <w:szCs w:val="18"/>
              </w:rPr>
              <w:t>(sulfate de morphine)</w:t>
            </w:r>
          </w:p>
          <w:p w14:paraId="07CEABE9" w14:textId="77777777" w:rsidR="0095765D" w:rsidRDefault="0095765D" w:rsidP="001552DA">
            <w:pPr>
              <w:ind w:left="179" w:right="99"/>
              <w:jc w:val="left"/>
              <w:rPr>
                <w:rFonts w:cs="Arial"/>
                <w:i/>
                <w:sz w:val="18"/>
                <w:szCs w:val="18"/>
              </w:rPr>
            </w:pPr>
            <w:r w:rsidRPr="00CC6F58">
              <w:rPr>
                <w:rFonts w:cs="Arial"/>
                <w:i/>
                <w:sz w:val="18"/>
                <w:szCs w:val="18"/>
              </w:rPr>
              <w:t>Chaix et Du Marais</w:t>
            </w:r>
          </w:p>
          <w:p w14:paraId="1EA5B0AF" w14:textId="77777777" w:rsidR="0095765D" w:rsidRPr="00452431" w:rsidRDefault="0095765D" w:rsidP="001552DA">
            <w:pPr>
              <w:spacing w:before="120"/>
              <w:ind w:left="179" w:right="99"/>
              <w:jc w:val="left"/>
              <w:rPr>
                <w:rFonts w:cs="Arial"/>
                <w:b/>
                <w:sz w:val="18"/>
                <w:szCs w:val="18"/>
              </w:rPr>
            </w:pPr>
            <w:r w:rsidRPr="00452431">
              <w:rPr>
                <w:rFonts w:cs="Arial"/>
                <w:b/>
                <w:sz w:val="18"/>
                <w:szCs w:val="18"/>
              </w:rPr>
              <w:t>Adulte et enfant</w:t>
            </w:r>
          </w:p>
        </w:tc>
        <w:tc>
          <w:tcPr>
            <w:tcW w:w="4819" w:type="dxa"/>
            <w:tcBorders>
              <w:top w:val="single" w:sz="4" w:space="0" w:color="A6A6A6"/>
              <w:left w:val="single" w:sz="4" w:space="0" w:color="A6A6A6"/>
              <w:bottom w:val="single" w:sz="4" w:space="0" w:color="A6A6A6"/>
              <w:right w:val="single" w:sz="4" w:space="0" w:color="A6A6A6"/>
            </w:tcBorders>
            <w:vAlign w:val="center"/>
          </w:tcPr>
          <w:p w14:paraId="5577F567" w14:textId="77777777" w:rsidR="0095765D" w:rsidRPr="004D3237" w:rsidRDefault="0095765D" w:rsidP="00CC2175">
            <w:pPr>
              <w:pStyle w:val="TexteTableau"/>
              <w:keepNext/>
              <w:spacing w:after="0"/>
              <w:ind w:left="43" w:right="98"/>
              <w:jc w:val="center"/>
              <w:rPr>
                <w:rFonts w:cs="Arial"/>
                <w:szCs w:val="18"/>
                <w:lang w:val="fr-FR" w:eastAsia="fr-FR"/>
              </w:rPr>
            </w:pPr>
            <w:r w:rsidRPr="004D3237">
              <w:rPr>
                <w:rFonts w:cs="Arial"/>
                <w:szCs w:val="18"/>
                <w:lang w:val="fr-FR" w:eastAsia="fr-FR"/>
              </w:rPr>
              <w:t>1 mg/ml</w:t>
            </w:r>
          </w:p>
          <w:p w14:paraId="74D6D444" w14:textId="77777777" w:rsidR="0095765D" w:rsidRPr="004D3237" w:rsidRDefault="0095765D" w:rsidP="00CC2175">
            <w:pPr>
              <w:ind w:left="43" w:right="98"/>
              <w:rPr>
                <w:rFonts w:cs="Arial"/>
                <w:sz w:val="18"/>
                <w:szCs w:val="18"/>
              </w:rPr>
            </w:pPr>
            <w:r w:rsidRPr="004D3237">
              <w:rPr>
                <w:rFonts w:cs="Arial"/>
                <w:bCs/>
                <w:sz w:val="18"/>
                <w:szCs w:val="18"/>
              </w:rPr>
              <w:t>Douleurs intenses et/ou rebelles aux antalgiques de niveau plus faible.</w:t>
            </w:r>
          </w:p>
          <w:p w14:paraId="709A1848" w14:textId="77777777" w:rsidR="0095765D" w:rsidRPr="004D3237" w:rsidRDefault="0095765D" w:rsidP="00CC2175">
            <w:pPr>
              <w:pStyle w:val="TexteTableau"/>
              <w:keepNext/>
              <w:spacing w:after="0"/>
              <w:ind w:left="43" w:right="98"/>
              <w:jc w:val="center"/>
              <w:rPr>
                <w:rFonts w:cs="Arial"/>
                <w:szCs w:val="18"/>
                <w:lang w:val="fr-FR" w:eastAsia="fr-FR"/>
              </w:rPr>
            </w:pPr>
            <w:r w:rsidRPr="004D3237">
              <w:rPr>
                <w:rFonts w:cs="Arial"/>
                <w:szCs w:val="18"/>
                <w:lang w:val="fr-FR" w:eastAsia="fr-FR"/>
              </w:rPr>
              <w:t>50 mg/ml</w:t>
            </w:r>
          </w:p>
          <w:p w14:paraId="760E435C" w14:textId="62A26B6E" w:rsidR="0095765D" w:rsidRPr="004D3237" w:rsidRDefault="0095765D" w:rsidP="00CC2175">
            <w:pPr>
              <w:ind w:left="43" w:right="98"/>
              <w:rPr>
                <w:rFonts w:cs="Arial"/>
                <w:sz w:val="18"/>
                <w:szCs w:val="18"/>
              </w:rPr>
            </w:pPr>
            <w:r w:rsidRPr="004D3237">
              <w:rPr>
                <w:rFonts w:cs="Arial"/>
                <w:sz w:val="18"/>
                <w:szCs w:val="18"/>
              </w:rPr>
              <w:t>Douleurs intenses et/ou rebelles aux antalgiques de niveau plus faible, devant être traitées par une administration continue de morphine à l’aide de dispositifs médicaux programmables.</w:t>
            </w:r>
          </w:p>
        </w:tc>
        <w:tc>
          <w:tcPr>
            <w:tcW w:w="2170" w:type="dxa"/>
            <w:tcBorders>
              <w:top w:val="single" w:sz="4" w:space="0" w:color="A6A6A6"/>
              <w:left w:val="single" w:sz="4" w:space="0" w:color="A6A6A6"/>
              <w:bottom w:val="single" w:sz="4" w:space="0" w:color="A6A6A6"/>
              <w:right w:val="single" w:sz="4" w:space="0" w:color="A6A6A6"/>
            </w:tcBorders>
            <w:vAlign w:val="center"/>
          </w:tcPr>
          <w:p w14:paraId="1A4F5530" w14:textId="280F1AE1" w:rsidR="0095765D" w:rsidRDefault="00FF13F8" w:rsidP="00EA50C2">
            <w:pPr>
              <w:jc w:val="center"/>
              <w:rPr>
                <w:rFonts w:cs="Arial"/>
                <w:sz w:val="18"/>
                <w:szCs w:val="18"/>
              </w:rPr>
            </w:pPr>
            <w:r>
              <w:rPr>
                <w:rFonts w:cs="Arial"/>
                <w:sz w:val="18"/>
                <w:szCs w:val="18"/>
              </w:rPr>
              <w:t>0</w:t>
            </w:r>
            <w:r w:rsidR="0095765D">
              <w:rPr>
                <w:rFonts w:cs="Arial"/>
                <w:sz w:val="18"/>
                <w:szCs w:val="18"/>
              </w:rPr>
              <w:t>6/04/2016</w:t>
            </w:r>
          </w:p>
          <w:p w14:paraId="63068A10" w14:textId="0CEB7F8D" w:rsidR="00C84278" w:rsidRDefault="00C84278" w:rsidP="00EA50C2">
            <w:pPr>
              <w:jc w:val="center"/>
              <w:rPr>
                <w:rFonts w:cs="Arial"/>
                <w:sz w:val="18"/>
                <w:szCs w:val="18"/>
              </w:rPr>
            </w:pPr>
            <w:r>
              <w:rPr>
                <w:rFonts w:cs="Arial"/>
                <w:sz w:val="18"/>
                <w:szCs w:val="18"/>
              </w:rPr>
              <w:t>RI</w:t>
            </w:r>
          </w:p>
          <w:p w14:paraId="5E825B0E" w14:textId="77777777" w:rsidR="00C84278" w:rsidRDefault="00C84278" w:rsidP="00EA50C2">
            <w:pPr>
              <w:jc w:val="center"/>
              <w:rPr>
                <w:rFonts w:cs="Arial"/>
                <w:sz w:val="18"/>
                <w:szCs w:val="18"/>
              </w:rPr>
            </w:pPr>
          </w:p>
          <w:p w14:paraId="1C3B238D" w14:textId="05533F02" w:rsidR="00A75B8E" w:rsidRPr="00CC6F58" w:rsidRDefault="00C84278" w:rsidP="00EA50C2">
            <w:pPr>
              <w:jc w:val="center"/>
              <w:rPr>
                <w:rFonts w:cs="Arial"/>
                <w:sz w:val="18"/>
                <w:szCs w:val="18"/>
              </w:rPr>
            </w:pPr>
            <w:r>
              <w:rPr>
                <w:rFonts w:cs="Arial"/>
                <w:sz w:val="18"/>
                <w:szCs w:val="18"/>
              </w:rPr>
              <w:t>Réévaluation mars 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6B772BF9" w14:textId="78AC4EAD" w:rsidR="0095765D" w:rsidRPr="00280E82" w:rsidRDefault="0095765D" w:rsidP="00EA50C2">
            <w:pPr>
              <w:autoSpaceDE w:val="0"/>
              <w:autoSpaceDN w:val="0"/>
              <w:adjustRightInd w:val="0"/>
              <w:jc w:val="center"/>
              <w:rPr>
                <w:rFonts w:cs="Arial"/>
                <w:bCs/>
                <w:color w:val="000000"/>
                <w:sz w:val="18"/>
                <w:szCs w:val="18"/>
              </w:rPr>
            </w:pPr>
            <w:r w:rsidRPr="00C34E60">
              <w:rPr>
                <w:rFonts w:cs="Arial"/>
                <w:bCs/>
                <w:color w:val="000000"/>
                <w:sz w:val="18"/>
                <w:szCs w:val="18"/>
              </w:rPr>
              <w:t>Important</w:t>
            </w:r>
          </w:p>
        </w:tc>
      </w:tr>
      <w:tr w:rsidR="0095765D" w:rsidRPr="001366D5" w14:paraId="712868A5" w14:textId="77777777" w:rsidTr="00FE1CFB">
        <w:trPr>
          <w:trHeight w:val="1748"/>
        </w:trPr>
        <w:tc>
          <w:tcPr>
            <w:tcW w:w="3402" w:type="dxa"/>
            <w:tcBorders>
              <w:top w:val="single" w:sz="4" w:space="0" w:color="A6A6A6"/>
              <w:left w:val="single" w:sz="4" w:space="0" w:color="A6A6A6"/>
              <w:right w:val="single" w:sz="4" w:space="0" w:color="A6A6A6"/>
            </w:tcBorders>
            <w:vAlign w:val="center"/>
          </w:tcPr>
          <w:p w14:paraId="0B7A74CF" w14:textId="3341F6F8" w:rsidR="0095765D" w:rsidRPr="00B54237" w:rsidRDefault="0095765D" w:rsidP="0095765D">
            <w:pPr>
              <w:ind w:left="187" w:right="96"/>
              <w:jc w:val="left"/>
              <w:rPr>
                <w:rFonts w:cs="Arial"/>
                <w:b/>
                <w:bCs/>
                <w:sz w:val="18"/>
                <w:szCs w:val="18"/>
              </w:rPr>
            </w:pPr>
            <w:r w:rsidRPr="00CC6F58">
              <w:rPr>
                <w:rFonts w:cs="Arial"/>
                <w:b/>
                <w:sz w:val="18"/>
                <w:szCs w:val="18"/>
              </w:rPr>
              <w:t>MORPHINE AGUETTANT</w:t>
            </w:r>
            <w:r w:rsidRPr="00CC6F58">
              <w:rPr>
                <w:rFonts w:cs="Arial"/>
                <w:sz w:val="18"/>
                <w:szCs w:val="18"/>
              </w:rPr>
              <w:t xml:space="preserve"> </w:t>
            </w:r>
            <w:r w:rsidRPr="00B54237">
              <w:rPr>
                <w:rFonts w:cs="Arial"/>
                <w:b/>
                <w:bCs/>
                <w:sz w:val="18"/>
                <w:szCs w:val="18"/>
              </w:rPr>
              <w:t>inj</w:t>
            </w:r>
            <w:r w:rsidR="00B54237" w:rsidRPr="00B54237">
              <w:rPr>
                <w:rFonts w:cs="Arial"/>
                <w:b/>
                <w:bCs/>
                <w:sz w:val="18"/>
                <w:szCs w:val="18"/>
              </w:rPr>
              <w:t>ectable</w:t>
            </w:r>
          </w:p>
          <w:p w14:paraId="73DFECC8" w14:textId="77777777" w:rsidR="0095765D" w:rsidRPr="00CC6F58" w:rsidRDefault="0095765D" w:rsidP="0095765D">
            <w:pPr>
              <w:ind w:left="179" w:right="99"/>
              <w:jc w:val="left"/>
              <w:rPr>
                <w:rFonts w:cs="Arial"/>
                <w:sz w:val="18"/>
                <w:szCs w:val="18"/>
              </w:rPr>
            </w:pPr>
            <w:r w:rsidRPr="00CC6F58">
              <w:rPr>
                <w:rFonts w:cs="Arial"/>
                <w:sz w:val="18"/>
                <w:szCs w:val="18"/>
              </w:rPr>
              <w:t>(chlorhydrate de morphine)</w:t>
            </w:r>
          </w:p>
          <w:p w14:paraId="708BBA37" w14:textId="77777777" w:rsidR="0095765D" w:rsidRDefault="0095765D" w:rsidP="0095765D">
            <w:pPr>
              <w:ind w:left="185" w:right="99"/>
              <w:jc w:val="left"/>
              <w:rPr>
                <w:rFonts w:cs="Arial"/>
                <w:i/>
                <w:sz w:val="18"/>
                <w:szCs w:val="18"/>
              </w:rPr>
            </w:pPr>
            <w:r w:rsidRPr="00CC6F58">
              <w:rPr>
                <w:rFonts w:cs="Arial"/>
                <w:i/>
                <w:sz w:val="18"/>
                <w:szCs w:val="18"/>
              </w:rPr>
              <w:t>Aguettant</w:t>
            </w:r>
          </w:p>
          <w:p w14:paraId="3B73B476" w14:textId="77777777" w:rsidR="0095765D" w:rsidRPr="00452431" w:rsidRDefault="0095765D" w:rsidP="0095765D">
            <w:pPr>
              <w:spacing w:before="120"/>
              <w:ind w:left="185" w:right="99"/>
              <w:jc w:val="left"/>
              <w:rPr>
                <w:rFonts w:cs="Arial"/>
                <w:b/>
                <w:sz w:val="18"/>
                <w:szCs w:val="18"/>
              </w:rPr>
            </w:pPr>
            <w:r w:rsidRPr="00452431">
              <w:rPr>
                <w:rFonts w:cs="Arial"/>
                <w:b/>
                <w:sz w:val="18"/>
                <w:szCs w:val="18"/>
              </w:rPr>
              <w:t>Adulte et enfant</w:t>
            </w:r>
          </w:p>
        </w:tc>
        <w:tc>
          <w:tcPr>
            <w:tcW w:w="4819" w:type="dxa"/>
            <w:tcBorders>
              <w:top w:val="single" w:sz="4" w:space="0" w:color="A6A6A6"/>
              <w:left w:val="single" w:sz="4" w:space="0" w:color="A6A6A6"/>
              <w:right w:val="single" w:sz="4" w:space="0" w:color="A6A6A6"/>
            </w:tcBorders>
            <w:vAlign w:val="center"/>
          </w:tcPr>
          <w:p w14:paraId="60DEDCAB" w14:textId="77777777" w:rsidR="0095765D" w:rsidRPr="004D3237" w:rsidRDefault="0095765D" w:rsidP="00CC2175">
            <w:pPr>
              <w:pStyle w:val="TexteTableau"/>
              <w:keepNext/>
              <w:spacing w:after="0"/>
              <w:ind w:left="43" w:right="98"/>
              <w:jc w:val="center"/>
              <w:rPr>
                <w:rFonts w:cs="Arial"/>
                <w:szCs w:val="18"/>
                <w:lang w:val="fr-FR" w:eastAsia="fr-FR"/>
              </w:rPr>
            </w:pPr>
            <w:r w:rsidRPr="004D3237">
              <w:rPr>
                <w:rFonts w:cs="Arial"/>
                <w:szCs w:val="18"/>
                <w:lang w:val="fr-FR" w:eastAsia="fr-FR"/>
              </w:rPr>
              <w:t>0,1, 1, 10, 20 mg/ml</w:t>
            </w:r>
          </w:p>
          <w:p w14:paraId="53269137" w14:textId="77777777" w:rsidR="0095765D" w:rsidRDefault="0095765D" w:rsidP="00CC2175">
            <w:pPr>
              <w:pStyle w:val="TexteTableau"/>
              <w:keepNext/>
              <w:spacing w:after="0"/>
              <w:ind w:left="43" w:right="98"/>
              <w:rPr>
                <w:rFonts w:cs="Arial"/>
                <w:szCs w:val="18"/>
                <w:lang w:val="fr-FR" w:eastAsia="fr-FR"/>
              </w:rPr>
            </w:pPr>
            <w:r w:rsidRPr="004D3237">
              <w:rPr>
                <w:rFonts w:cs="Arial"/>
                <w:szCs w:val="18"/>
                <w:lang w:val="fr-FR" w:eastAsia="fr-FR"/>
              </w:rPr>
              <w:t>Douleurs intenses et/ou rebelles aux antalgiques de niveau plus faible</w:t>
            </w:r>
          </w:p>
          <w:p w14:paraId="049FFD73" w14:textId="77777777" w:rsidR="0095765D" w:rsidRPr="004D3237" w:rsidRDefault="0095765D" w:rsidP="0095765D">
            <w:pPr>
              <w:pStyle w:val="TexteTableau"/>
              <w:keepNext/>
              <w:spacing w:after="0"/>
              <w:ind w:left="43" w:right="98"/>
              <w:jc w:val="center"/>
              <w:rPr>
                <w:rFonts w:cs="Arial"/>
                <w:szCs w:val="18"/>
                <w:lang w:val="fr-FR" w:eastAsia="fr-FR"/>
              </w:rPr>
            </w:pPr>
            <w:r w:rsidRPr="004D3237">
              <w:rPr>
                <w:rFonts w:cs="Arial"/>
                <w:szCs w:val="18"/>
                <w:lang w:val="fr-FR" w:eastAsia="fr-FR"/>
              </w:rPr>
              <w:t>40 mg/ml</w:t>
            </w:r>
          </w:p>
          <w:p w14:paraId="60C4891A" w14:textId="08CAC753" w:rsidR="0095765D" w:rsidRPr="004D3237" w:rsidRDefault="0095765D" w:rsidP="0095765D">
            <w:pPr>
              <w:pStyle w:val="TexteTableau"/>
              <w:keepNext/>
              <w:spacing w:after="0"/>
              <w:ind w:left="43" w:right="98"/>
              <w:rPr>
                <w:rFonts w:cs="Arial"/>
                <w:szCs w:val="18"/>
                <w:lang w:val="fr-FR" w:eastAsia="fr-FR"/>
              </w:rPr>
            </w:pPr>
            <w:r w:rsidRPr="004D3237">
              <w:rPr>
                <w:rFonts w:cs="Arial"/>
                <w:szCs w:val="18"/>
              </w:rPr>
              <w:t>Douleurs intenses et/ou rebelles aux antalgiques de niveau plus faible, devant être traitées par une administration continue de morphine à l’aide de dispositifs médicaux programmables.</w:t>
            </w:r>
          </w:p>
        </w:tc>
        <w:tc>
          <w:tcPr>
            <w:tcW w:w="2170" w:type="dxa"/>
            <w:tcBorders>
              <w:top w:val="single" w:sz="4" w:space="0" w:color="A6A6A6"/>
              <w:left w:val="single" w:sz="4" w:space="0" w:color="A6A6A6"/>
              <w:right w:val="single" w:sz="4" w:space="0" w:color="A6A6A6"/>
            </w:tcBorders>
            <w:vAlign w:val="center"/>
          </w:tcPr>
          <w:p w14:paraId="6ECC8362" w14:textId="4058C1C9" w:rsidR="0095765D" w:rsidRPr="00CC6F58" w:rsidRDefault="00FF13F8" w:rsidP="00F94D1C">
            <w:pPr>
              <w:jc w:val="center"/>
              <w:rPr>
                <w:rFonts w:cs="Arial"/>
                <w:sz w:val="18"/>
                <w:szCs w:val="18"/>
              </w:rPr>
            </w:pPr>
            <w:r>
              <w:rPr>
                <w:rFonts w:cs="Arial"/>
                <w:sz w:val="18"/>
                <w:szCs w:val="18"/>
              </w:rPr>
              <w:t>0</w:t>
            </w:r>
            <w:r w:rsidR="0095765D">
              <w:rPr>
                <w:rFonts w:cs="Arial"/>
                <w:sz w:val="18"/>
                <w:szCs w:val="18"/>
              </w:rPr>
              <w:t>7/09/2016</w:t>
            </w:r>
          </w:p>
          <w:p w14:paraId="53477EEC" w14:textId="77777777" w:rsidR="0095765D" w:rsidRDefault="0095765D" w:rsidP="00F94D1C">
            <w:pPr>
              <w:jc w:val="center"/>
              <w:rPr>
                <w:rFonts w:cs="Arial"/>
                <w:sz w:val="18"/>
                <w:szCs w:val="18"/>
              </w:rPr>
            </w:pPr>
            <w:r w:rsidRPr="00CC6F58">
              <w:rPr>
                <w:rFonts w:cs="Arial"/>
                <w:sz w:val="18"/>
                <w:szCs w:val="18"/>
              </w:rPr>
              <w:t>RI</w:t>
            </w:r>
          </w:p>
          <w:p w14:paraId="78DD1134" w14:textId="77777777" w:rsidR="00C84278" w:rsidRDefault="00C84278" w:rsidP="00F94D1C">
            <w:pPr>
              <w:jc w:val="center"/>
              <w:rPr>
                <w:rFonts w:cs="Arial"/>
                <w:sz w:val="18"/>
                <w:szCs w:val="18"/>
              </w:rPr>
            </w:pPr>
          </w:p>
          <w:p w14:paraId="36D937BF" w14:textId="53E9E031" w:rsidR="00C84278" w:rsidRPr="00CC6F58" w:rsidRDefault="00C84278" w:rsidP="00F94D1C">
            <w:pPr>
              <w:jc w:val="center"/>
              <w:rPr>
                <w:rFonts w:cs="Arial"/>
                <w:sz w:val="18"/>
                <w:szCs w:val="18"/>
              </w:rPr>
            </w:pPr>
            <w:r>
              <w:rPr>
                <w:rFonts w:cs="Arial"/>
                <w:sz w:val="18"/>
                <w:szCs w:val="18"/>
              </w:rPr>
              <w:t>Réévaluation mars 2014</w:t>
            </w:r>
          </w:p>
        </w:tc>
        <w:tc>
          <w:tcPr>
            <w:tcW w:w="4111" w:type="dxa"/>
            <w:tcBorders>
              <w:top w:val="single" w:sz="4" w:space="0" w:color="A6A6A6"/>
              <w:left w:val="single" w:sz="4" w:space="0" w:color="A6A6A6"/>
              <w:right w:val="single" w:sz="4" w:space="0" w:color="A6A6A6"/>
            </w:tcBorders>
            <w:vAlign w:val="center"/>
          </w:tcPr>
          <w:p w14:paraId="1421D656" w14:textId="45222E2B" w:rsidR="0095765D" w:rsidRPr="00280E82" w:rsidRDefault="0095765D" w:rsidP="00EA50C2">
            <w:pPr>
              <w:autoSpaceDE w:val="0"/>
              <w:autoSpaceDN w:val="0"/>
              <w:adjustRightInd w:val="0"/>
              <w:jc w:val="center"/>
              <w:rPr>
                <w:rFonts w:cs="Arial"/>
                <w:bCs/>
                <w:color w:val="000000"/>
                <w:sz w:val="18"/>
                <w:szCs w:val="18"/>
              </w:rPr>
            </w:pPr>
            <w:r w:rsidRPr="00C34E60">
              <w:rPr>
                <w:rFonts w:cs="Arial"/>
                <w:bCs/>
                <w:color w:val="000000"/>
                <w:sz w:val="18"/>
                <w:szCs w:val="18"/>
              </w:rPr>
              <w:t>Important</w:t>
            </w:r>
          </w:p>
        </w:tc>
      </w:tr>
      <w:tr w:rsidR="006F7B2A" w:rsidRPr="001366D5" w14:paraId="6A4977E5" w14:textId="77777777" w:rsidTr="00FE1CFB">
        <w:trPr>
          <w:trHeight w:hRule="exact" w:val="1304"/>
        </w:trPr>
        <w:tc>
          <w:tcPr>
            <w:tcW w:w="3402" w:type="dxa"/>
            <w:tcBorders>
              <w:top w:val="single" w:sz="4" w:space="0" w:color="A6A6A6"/>
              <w:left w:val="single" w:sz="4" w:space="0" w:color="A6A6A6"/>
              <w:bottom w:val="single" w:sz="4" w:space="0" w:color="A6A6A6"/>
              <w:right w:val="single" w:sz="4" w:space="0" w:color="A6A6A6"/>
            </w:tcBorders>
            <w:vAlign w:val="center"/>
          </w:tcPr>
          <w:p w14:paraId="54F3FFEF" w14:textId="2203121F" w:rsidR="006F7B2A" w:rsidRPr="00CC6F58" w:rsidRDefault="006F7B2A" w:rsidP="0095765D">
            <w:pPr>
              <w:ind w:left="187" w:right="96"/>
              <w:jc w:val="left"/>
              <w:rPr>
                <w:rFonts w:cs="Arial"/>
                <w:b/>
                <w:sz w:val="18"/>
                <w:szCs w:val="18"/>
              </w:rPr>
            </w:pPr>
            <w:r w:rsidRPr="00CC6F58">
              <w:rPr>
                <w:rFonts w:cs="Arial"/>
                <w:b/>
                <w:sz w:val="18"/>
                <w:szCs w:val="18"/>
              </w:rPr>
              <w:t>MORPHINE (CHLORHYDRATE) LAVOISIER</w:t>
            </w:r>
            <w:r w:rsidR="00FE7D0F">
              <w:rPr>
                <w:rFonts w:cs="Arial"/>
                <w:b/>
                <w:sz w:val="18"/>
                <w:szCs w:val="18"/>
              </w:rPr>
              <w:t xml:space="preserve"> inj</w:t>
            </w:r>
            <w:r w:rsidR="00B54237">
              <w:rPr>
                <w:rFonts w:cs="Arial"/>
                <w:b/>
                <w:sz w:val="18"/>
                <w:szCs w:val="18"/>
              </w:rPr>
              <w:t>ectable</w:t>
            </w:r>
          </w:p>
          <w:p w14:paraId="2FAE6292" w14:textId="77777777" w:rsidR="006F7B2A" w:rsidRPr="00CC6F58" w:rsidRDefault="006F7B2A" w:rsidP="0095765D">
            <w:pPr>
              <w:ind w:left="185" w:right="99"/>
              <w:jc w:val="left"/>
              <w:rPr>
                <w:rFonts w:cs="Arial"/>
                <w:sz w:val="18"/>
                <w:szCs w:val="18"/>
              </w:rPr>
            </w:pPr>
            <w:r w:rsidRPr="00CC6F58">
              <w:rPr>
                <w:rFonts w:cs="Arial"/>
                <w:sz w:val="18"/>
                <w:szCs w:val="18"/>
              </w:rPr>
              <w:t>(chlorhydrate de morphine)</w:t>
            </w:r>
          </w:p>
          <w:p w14:paraId="50084059" w14:textId="77777777" w:rsidR="006F7B2A" w:rsidRDefault="006F7B2A" w:rsidP="0095765D">
            <w:pPr>
              <w:ind w:left="185" w:right="99"/>
              <w:jc w:val="left"/>
              <w:rPr>
                <w:rFonts w:cs="Arial"/>
                <w:i/>
                <w:sz w:val="18"/>
                <w:szCs w:val="18"/>
              </w:rPr>
            </w:pPr>
            <w:r w:rsidRPr="00CC6F58">
              <w:rPr>
                <w:rFonts w:cs="Arial"/>
                <w:i/>
                <w:sz w:val="18"/>
                <w:szCs w:val="18"/>
              </w:rPr>
              <w:t>Chaix et Du Marais</w:t>
            </w:r>
          </w:p>
          <w:p w14:paraId="679970D8" w14:textId="77777777" w:rsidR="006F7B2A" w:rsidRPr="00452431" w:rsidRDefault="006F7B2A" w:rsidP="0095765D">
            <w:pPr>
              <w:spacing w:before="120"/>
              <w:ind w:left="185" w:right="99"/>
              <w:jc w:val="left"/>
              <w:rPr>
                <w:rFonts w:cs="Arial"/>
                <w:b/>
                <w:sz w:val="18"/>
                <w:szCs w:val="18"/>
              </w:rPr>
            </w:pPr>
            <w:r w:rsidRPr="00452431">
              <w:rPr>
                <w:rFonts w:cs="Arial"/>
                <w:b/>
                <w:sz w:val="18"/>
                <w:szCs w:val="18"/>
              </w:rPr>
              <w:t>Adulte et enfant</w:t>
            </w:r>
          </w:p>
        </w:tc>
        <w:tc>
          <w:tcPr>
            <w:tcW w:w="4819" w:type="dxa"/>
            <w:tcBorders>
              <w:top w:val="single" w:sz="4" w:space="0" w:color="A6A6A6"/>
              <w:left w:val="single" w:sz="4" w:space="0" w:color="A6A6A6"/>
              <w:bottom w:val="single" w:sz="4" w:space="0" w:color="A6A6A6"/>
              <w:right w:val="single" w:sz="4" w:space="0" w:color="A6A6A6"/>
            </w:tcBorders>
            <w:vAlign w:val="center"/>
          </w:tcPr>
          <w:p w14:paraId="048AF87F" w14:textId="77777777" w:rsidR="006F7B2A" w:rsidRPr="00CC6F58" w:rsidRDefault="006F7B2A" w:rsidP="00CC2175">
            <w:pPr>
              <w:pStyle w:val="TexteTableau"/>
              <w:keepNext/>
              <w:spacing w:after="0"/>
              <w:ind w:left="43" w:right="98"/>
              <w:rPr>
                <w:rFonts w:cs="Arial"/>
                <w:szCs w:val="18"/>
                <w:lang w:val="fr-FR" w:eastAsia="fr-FR"/>
              </w:rPr>
            </w:pPr>
            <w:r w:rsidRPr="00CC6F58">
              <w:rPr>
                <w:rFonts w:cs="Arial"/>
                <w:szCs w:val="18"/>
                <w:lang w:val="fr-FR" w:eastAsia="fr-FR"/>
              </w:rPr>
              <w:t>Douleurs intenses et/ou rebelles aux antalgiques de niveau plus faible.</w:t>
            </w:r>
          </w:p>
        </w:tc>
        <w:tc>
          <w:tcPr>
            <w:tcW w:w="2170" w:type="dxa"/>
            <w:tcBorders>
              <w:top w:val="single" w:sz="4" w:space="0" w:color="A6A6A6"/>
              <w:left w:val="single" w:sz="4" w:space="0" w:color="A6A6A6"/>
              <w:bottom w:val="single" w:sz="4" w:space="0" w:color="A6A6A6"/>
              <w:right w:val="single" w:sz="4" w:space="0" w:color="A6A6A6"/>
            </w:tcBorders>
            <w:vAlign w:val="center"/>
          </w:tcPr>
          <w:p w14:paraId="418901BD" w14:textId="77777777" w:rsidR="006F7B2A" w:rsidRDefault="00FF13F8" w:rsidP="00F94D1C">
            <w:pPr>
              <w:jc w:val="center"/>
              <w:rPr>
                <w:rFonts w:cs="Arial"/>
                <w:sz w:val="18"/>
                <w:szCs w:val="18"/>
              </w:rPr>
            </w:pPr>
            <w:r>
              <w:rPr>
                <w:rFonts w:cs="Arial"/>
                <w:sz w:val="18"/>
                <w:szCs w:val="18"/>
              </w:rPr>
              <w:t>0</w:t>
            </w:r>
            <w:r w:rsidR="006F7B2A">
              <w:rPr>
                <w:rFonts w:cs="Arial"/>
                <w:sz w:val="18"/>
                <w:szCs w:val="18"/>
              </w:rPr>
              <w:t>6/04/2016</w:t>
            </w:r>
          </w:p>
          <w:p w14:paraId="40148E5F" w14:textId="77777777" w:rsidR="00C84278" w:rsidRDefault="00C84278" w:rsidP="00F94D1C">
            <w:pPr>
              <w:jc w:val="center"/>
              <w:rPr>
                <w:rFonts w:cs="Arial"/>
                <w:sz w:val="18"/>
                <w:szCs w:val="18"/>
              </w:rPr>
            </w:pPr>
            <w:r>
              <w:rPr>
                <w:rFonts w:cs="Arial"/>
                <w:sz w:val="18"/>
                <w:szCs w:val="18"/>
              </w:rPr>
              <w:t>RI</w:t>
            </w:r>
          </w:p>
          <w:p w14:paraId="65D8E544" w14:textId="77777777" w:rsidR="00C84278" w:rsidRDefault="00C84278" w:rsidP="00F94D1C">
            <w:pPr>
              <w:jc w:val="center"/>
              <w:rPr>
                <w:rFonts w:cs="Arial"/>
                <w:sz w:val="18"/>
                <w:szCs w:val="18"/>
              </w:rPr>
            </w:pPr>
          </w:p>
          <w:p w14:paraId="626BD46F" w14:textId="4CE0486E" w:rsidR="00C84278" w:rsidRPr="00CC6F58" w:rsidRDefault="00C84278" w:rsidP="00F94D1C">
            <w:pPr>
              <w:jc w:val="center"/>
              <w:rPr>
                <w:rFonts w:cs="Arial"/>
                <w:sz w:val="18"/>
                <w:szCs w:val="18"/>
              </w:rPr>
            </w:pPr>
            <w:r>
              <w:rPr>
                <w:rFonts w:cs="Arial"/>
                <w:sz w:val="18"/>
                <w:szCs w:val="18"/>
              </w:rPr>
              <w:t>Réévaluation mars 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67E228F0" w14:textId="4B520103" w:rsidR="006F7B2A" w:rsidRPr="00280E82" w:rsidRDefault="006F7B2A" w:rsidP="00EA50C2">
            <w:pPr>
              <w:autoSpaceDE w:val="0"/>
              <w:autoSpaceDN w:val="0"/>
              <w:adjustRightInd w:val="0"/>
              <w:jc w:val="center"/>
              <w:rPr>
                <w:rFonts w:cs="Arial"/>
                <w:bCs/>
                <w:color w:val="000000"/>
                <w:sz w:val="18"/>
                <w:szCs w:val="18"/>
              </w:rPr>
            </w:pPr>
            <w:r w:rsidRPr="00C34E60">
              <w:rPr>
                <w:rFonts w:cs="Arial"/>
                <w:bCs/>
                <w:color w:val="000000"/>
                <w:sz w:val="18"/>
                <w:szCs w:val="18"/>
              </w:rPr>
              <w:t>Important</w:t>
            </w:r>
          </w:p>
        </w:tc>
      </w:tr>
      <w:tr w:rsidR="006F7B2A" w:rsidRPr="001366D5" w14:paraId="0B520272" w14:textId="77777777" w:rsidTr="00FE1CFB">
        <w:trPr>
          <w:trHeight w:val="665"/>
        </w:trPr>
        <w:tc>
          <w:tcPr>
            <w:tcW w:w="3402" w:type="dxa"/>
            <w:vMerge w:val="restart"/>
            <w:tcBorders>
              <w:top w:val="single" w:sz="4" w:space="0" w:color="A6A6A6"/>
              <w:left w:val="single" w:sz="4" w:space="0" w:color="A6A6A6"/>
              <w:right w:val="single" w:sz="4" w:space="0" w:color="A6A6A6"/>
            </w:tcBorders>
            <w:vAlign w:val="center"/>
          </w:tcPr>
          <w:p w14:paraId="1F897DEF" w14:textId="6FA69CC3" w:rsidR="006F7B2A" w:rsidRPr="00CC6F58" w:rsidRDefault="006F7B2A" w:rsidP="0095765D">
            <w:pPr>
              <w:ind w:left="187" w:right="96"/>
              <w:jc w:val="left"/>
              <w:rPr>
                <w:rFonts w:cs="Arial"/>
                <w:b/>
                <w:sz w:val="18"/>
                <w:szCs w:val="18"/>
              </w:rPr>
            </w:pPr>
            <w:r w:rsidRPr="00CC6F58">
              <w:rPr>
                <w:rFonts w:cs="Arial"/>
                <w:b/>
                <w:sz w:val="18"/>
                <w:szCs w:val="18"/>
              </w:rPr>
              <w:t>MORPHINE (CHLORHYDRATE) RENAUDIN</w:t>
            </w:r>
            <w:r w:rsidR="00FE7D0F">
              <w:rPr>
                <w:rFonts w:cs="Arial"/>
                <w:b/>
                <w:sz w:val="18"/>
                <w:szCs w:val="18"/>
              </w:rPr>
              <w:t xml:space="preserve"> inj</w:t>
            </w:r>
            <w:r w:rsidR="00B54237">
              <w:rPr>
                <w:rFonts w:cs="Arial"/>
                <w:b/>
                <w:sz w:val="18"/>
                <w:szCs w:val="18"/>
              </w:rPr>
              <w:t>ectable</w:t>
            </w:r>
          </w:p>
          <w:p w14:paraId="78B10952" w14:textId="77777777" w:rsidR="006F7B2A" w:rsidRPr="00CC6F58" w:rsidRDefault="006F7B2A" w:rsidP="0095765D">
            <w:pPr>
              <w:ind w:left="185" w:right="99"/>
              <w:jc w:val="left"/>
              <w:rPr>
                <w:rFonts w:cs="Arial"/>
                <w:sz w:val="18"/>
                <w:szCs w:val="18"/>
              </w:rPr>
            </w:pPr>
            <w:r w:rsidRPr="00CC6F58">
              <w:rPr>
                <w:rFonts w:cs="Arial"/>
                <w:sz w:val="18"/>
                <w:szCs w:val="18"/>
              </w:rPr>
              <w:t>(chlorhydrate de morphine)</w:t>
            </w:r>
          </w:p>
          <w:p w14:paraId="3ABF8447" w14:textId="77777777" w:rsidR="006F7B2A" w:rsidRDefault="006F7B2A" w:rsidP="0095765D">
            <w:pPr>
              <w:ind w:left="185" w:right="99"/>
              <w:jc w:val="left"/>
              <w:rPr>
                <w:rFonts w:cs="Arial"/>
                <w:i/>
                <w:sz w:val="18"/>
                <w:szCs w:val="18"/>
              </w:rPr>
            </w:pPr>
            <w:r w:rsidRPr="00CC6F58">
              <w:rPr>
                <w:rFonts w:cs="Arial"/>
                <w:i/>
                <w:sz w:val="18"/>
                <w:szCs w:val="18"/>
              </w:rPr>
              <w:t>Renaudin</w:t>
            </w:r>
          </w:p>
          <w:p w14:paraId="60426A70" w14:textId="77777777" w:rsidR="006F7B2A" w:rsidRPr="00452431" w:rsidRDefault="006F7B2A" w:rsidP="0095765D">
            <w:pPr>
              <w:spacing w:before="120"/>
              <w:ind w:left="185" w:right="99"/>
              <w:jc w:val="left"/>
              <w:rPr>
                <w:rFonts w:cs="Arial"/>
                <w:b/>
                <w:sz w:val="18"/>
                <w:szCs w:val="18"/>
              </w:rPr>
            </w:pPr>
            <w:r w:rsidRPr="00452431">
              <w:rPr>
                <w:rFonts w:cs="Arial"/>
                <w:b/>
                <w:sz w:val="18"/>
                <w:szCs w:val="18"/>
              </w:rPr>
              <w:t>Adulte et enfant</w:t>
            </w:r>
          </w:p>
        </w:tc>
        <w:tc>
          <w:tcPr>
            <w:tcW w:w="4819" w:type="dxa"/>
            <w:tcBorders>
              <w:top w:val="single" w:sz="4" w:space="0" w:color="A6A6A6"/>
              <w:left w:val="single" w:sz="4" w:space="0" w:color="A6A6A6"/>
              <w:bottom w:val="single" w:sz="4" w:space="0" w:color="A6A6A6"/>
              <w:right w:val="single" w:sz="4" w:space="0" w:color="A6A6A6"/>
            </w:tcBorders>
          </w:tcPr>
          <w:p w14:paraId="6EFA31F0" w14:textId="77777777" w:rsidR="006F7B2A" w:rsidRPr="00CC6F58" w:rsidRDefault="006F7B2A" w:rsidP="00CC2175">
            <w:pPr>
              <w:pStyle w:val="TexteTableau"/>
              <w:keepNext/>
              <w:spacing w:after="0"/>
              <w:ind w:left="43" w:right="98"/>
              <w:jc w:val="center"/>
              <w:rPr>
                <w:rFonts w:cs="Arial"/>
                <w:szCs w:val="18"/>
                <w:lang w:val="fr-FR" w:eastAsia="fr-FR"/>
              </w:rPr>
            </w:pPr>
            <w:r w:rsidRPr="00CC6F58">
              <w:rPr>
                <w:rFonts w:cs="Arial"/>
                <w:szCs w:val="18"/>
                <w:lang w:val="fr-FR" w:eastAsia="fr-FR"/>
              </w:rPr>
              <w:t>1, 10, 20 mg/ml :</w:t>
            </w:r>
          </w:p>
          <w:p w14:paraId="0F5AA992" w14:textId="77777777" w:rsidR="006F7B2A" w:rsidRPr="00CC6F58" w:rsidRDefault="006F7B2A" w:rsidP="00CC2175">
            <w:pPr>
              <w:pStyle w:val="TexteTableau"/>
              <w:keepNext/>
              <w:spacing w:after="0"/>
              <w:ind w:left="43" w:right="98"/>
              <w:rPr>
                <w:rFonts w:cs="Arial"/>
                <w:szCs w:val="18"/>
                <w:lang w:val="fr-FR" w:eastAsia="fr-FR"/>
              </w:rPr>
            </w:pPr>
            <w:r w:rsidRPr="00CC6F58">
              <w:rPr>
                <w:rFonts w:cs="Arial"/>
                <w:szCs w:val="18"/>
                <w:lang w:val="fr-FR" w:eastAsia="fr-FR"/>
              </w:rPr>
              <w:t>Douleurs intenses et/ou rebelles aux antalgiques de niveau plus faible.</w:t>
            </w:r>
          </w:p>
        </w:tc>
        <w:tc>
          <w:tcPr>
            <w:tcW w:w="2170" w:type="dxa"/>
            <w:vMerge w:val="restart"/>
            <w:tcBorders>
              <w:top w:val="single" w:sz="4" w:space="0" w:color="A6A6A6"/>
              <w:left w:val="single" w:sz="4" w:space="0" w:color="A6A6A6"/>
              <w:right w:val="single" w:sz="4" w:space="0" w:color="A6A6A6"/>
            </w:tcBorders>
            <w:vAlign w:val="center"/>
          </w:tcPr>
          <w:p w14:paraId="4E4A8BA5" w14:textId="77777777" w:rsidR="006F7B2A" w:rsidRDefault="006F7B2A" w:rsidP="00F94D1C">
            <w:pPr>
              <w:jc w:val="center"/>
              <w:rPr>
                <w:rFonts w:cs="Arial"/>
                <w:sz w:val="18"/>
                <w:szCs w:val="18"/>
              </w:rPr>
            </w:pPr>
            <w:r>
              <w:rPr>
                <w:rFonts w:cs="Arial"/>
                <w:sz w:val="18"/>
                <w:szCs w:val="18"/>
              </w:rPr>
              <w:t>13/06/2018</w:t>
            </w:r>
          </w:p>
          <w:p w14:paraId="1CDC1C99" w14:textId="77777777" w:rsidR="00C84278" w:rsidRDefault="00C84278" w:rsidP="00F94D1C">
            <w:pPr>
              <w:jc w:val="center"/>
              <w:rPr>
                <w:rFonts w:cs="Arial"/>
                <w:sz w:val="18"/>
                <w:szCs w:val="18"/>
              </w:rPr>
            </w:pPr>
            <w:r>
              <w:rPr>
                <w:rFonts w:cs="Arial"/>
                <w:sz w:val="18"/>
                <w:szCs w:val="18"/>
              </w:rPr>
              <w:t>RI</w:t>
            </w:r>
          </w:p>
          <w:p w14:paraId="51BD2395" w14:textId="77777777" w:rsidR="00C84278" w:rsidRDefault="00C84278" w:rsidP="00F94D1C">
            <w:pPr>
              <w:jc w:val="center"/>
              <w:rPr>
                <w:rFonts w:cs="Arial"/>
                <w:sz w:val="18"/>
                <w:szCs w:val="18"/>
              </w:rPr>
            </w:pPr>
          </w:p>
          <w:p w14:paraId="2427F060" w14:textId="600AE411" w:rsidR="00C84278" w:rsidRPr="00CC6F58" w:rsidRDefault="00C84278" w:rsidP="00F94D1C">
            <w:pPr>
              <w:jc w:val="center"/>
              <w:rPr>
                <w:rFonts w:cs="Arial"/>
                <w:sz w:val="18"/>
                <w:szCs w:val="18"/>
              </w:rPr>
            </w:pPr>
            <w:r>
              <w:rPr>
                <w:rFonts w:cs="Arial"/>
                <w:sz w:val="18"/>
                <w:szCs w:val="18"/>
              </w:rPr>
              <w:t>Réévaluation mars 2014</w:t>
            </w:r>
          </w:p>
        </w:tc>
        <w:tc>
          <w:tcPr>
            <w:tcW w:w="4111" w:type="dxa"/>
            <w:vMerge w:val="restart"/>
            <w:tcBorders>
              <w:top w:val="single" w:sz="4" w:space="0" w:color="A6A6A6"/>
              <w:left w:val="single" w:sz="4" w:space="0" w:color="A6A6A6"/>
              <w:right w:val="single" w:sz="4" w:space="0" w:color="A6A6A6"/>
            </w:tcBorders>
            <w:vAlign w:val="center"/>
          </w:tcPr>
          <w:p w14:paraId="6C5B72DA" w14:textId="5DA54F88" w:rsidR="006F7B2A" w:rsidRPr="0095765D" w:rsidRDefault="00271A9F" w:rsidP="0095765D">
            <w:pPr>
              <w:autoSpaceDE w:val="0"/>
              <w:autoSpaceDN w:val="0"/>
              <w:adjustRightInd w:val="0"/>
              <w:ind w:left="44" w:right="142"/>
              <w:rPr>
                <w:rFonts w:cs="Arial"/>
                <w:bCs/>
                <w:sz w:val="18"/>
                <w:szCs w:val="18"/>
              </w:rPr>
            </w:pPr>
            <w:r w:rsidRPr="00A0062C">
              <w:rPr>
                <w:rFonts w:cs="Arial"/>
                <w:bCs/>
                <w:sz w:val="18"/>
                <w:szCs w:val="18"/>
              </w:rPr>
              <w:t>Important dans la prise en charge des douleurs intenses et/ou rebelles aux</w:t>
            </w:r>
            <w:r w:rsidR="00A0062C">
              <w:rPr>
                <w:rFonts w:cs="Arial"/>
                <w:bCs/>
                <w:sz w:val="18"/>
                <w:szCs w:val="18"/>
              </w:rPr>
              <w:t xml:space="preserve"> </w:t>
            </w:r>
            <w:r w:rsidRPr="00A0062C">
              <w:rPr>
                <w:rFonts w:cs="Arial"/>
                <w:bCs/>
                <w:sz w:val="18"/>
                <w:szCs w:val="18"/>
              </w:rPr>
              <w:t>antalgiques de niveau plus faible, des douleurs sévères d’origine cancéreuse, des</w:t>
            </w:r>
            <w:r w:rsidR="00A0062C">
              <w:rPr>
                <w:rFonts w:cs="Arial"/>
                <w:bCs/>
                <w:sz w:val="18"/>
                <w:szCs w:val="18"/>
              </w:rPr>
              <w:t xml:space="preserve"> </w:t>
            </w:r>
            <w:r w:rsidRPr="00A0062C">
              <w:rPr>
                <w:rFonts w:cs="Arial"/>
                <w:bCs/>
                <w:sz w:val="18"/>
                <w:szCs w:val="18"/>
              </w:rPr>
              <w:t>douleurs aiguës sévères non cancéreuses (douleurs post-opératoires), et des</w:t>
            </w:r>
            <w:r w:rsidR="00A0062C">
              <w:rPr>
                <w:rFonts w:cs="Arial"/>
                <w:bCs/>
                <w:sz w:val="18"/>
                <w:szCs w:val="18"/>
              </w:rPr>
              <w:t xml:space="preserve"> </w:t>
            </w:r>
            <w:r w:rsidRPr="00A0062C">
              <w:rPr>
                <w:rFonts w:cs="Arial"/>
                <w:bCs/>
                <w:sz w:val="18"/>
                <w:szCs w:val="18"/>
              </w:rPr>
              <w:t xml:space="preserve">douleurs chroniques </w:t>
            </w:r>
            <w:r w:rsidR="00C96277">
              <w:rPr>
                <w:rFonts w:cs="Arial"/>
                <w:bCs/>
                <w:sz w:val="18"/>
                <w:szCs w:val="18"/>
              </w:rPr>
              <w:t>sévères d’origine neuropathique.</w:t>
            </w:r>
            <w:r w:rsidRPr="00A0062C">
              <w:rPr>
                <w:rFonts w:cs="Arial"/>
                <w:bCs/>
                <w:sz w:val="18"/>
                <w:szCs w:val="18"/>
              </w:rPr>
              <w:t>.</w:t>
            </w:r>
          </w:p>
        </w:tc>
      </w:tr>
      <w:tr w:rsidR="006F7B2A" w:rsidRPr="001366D5" w14:paraId="4B829DF1" w14:textId="77777777" w:rsidTr="00FE1CFB">
        <w:trPr>
          <w:trHeight w:hRule="exact" w:val="1052"/>
        </w:trPr>
        <w:tc>
          <w:tcPr>
            <w:tcW w:w="3402" w:type="dxa"/>
            <w:vMerge/>
            <w:tcBorders>
              <w:left w:val="single" w:sz="4" w:space="0" w:color="A6A6A6"/>
              <w:bottom w:val="single" w:sz="4" w:space="0" w:color="A6A6A6"/>
              <w:right w:val="single" w:sz="4" w:space="0" w:color="A6A6A6"/>
            </w:tcBorders>
            <w:vAlign w:val="center"/>
          </w:tcPr>
          <w:p w14:paraId="64347C98" w14:textId="4341E363" w:rsidR="006F7B2A" w:rsidRPr="00452431" w:rsidRDefault="006F7B2A" w:rsidP="00CC2175">
            <w:pPr>
              <w:ind w:left="185" w:right="99"/>
              <w:jc w:val="left"/>
              <w:rPr>
                <w:rFonts w:cs="Arial"/>
                <w:b/>
                <w:sz w:val="18"/>
                <w:szCs w:val="18"/>
              </w:rPr>
            </w:pPr>
          </w:p>
        </w:tc>
        <w:tc>
          <w:tcPr>
            <w:tcW w:w="4819" w:type="dxa"/>
            <w:tcBorders>
              <w:top w:val="single" w:sz="4" w:space="0" w:color="A6A6A6"/>
              <w:left w:val="single" w:sz="4" w:space="0" w:color="A6A6A6"/>
              <w:bottom w:val="single" w:sz="4" w:space="0" w:color="A6A6A6"/>
              <w:right w:val="single" w:sz="4" w:space="0" w:color="A6A6A6"/>
            </w:tcBorders>
          </w:tcPr>
          <w:p w14:paraId="4C9CC15D" w14:textId="77777777" w:rsidR="006F7B2A" w:rsidRPr="00CC6F58" w:rsidRDefault="006F7B2A" w:rsidP="00CC2175">
            <w:pPr>
              <w:pStyle w:val="TexteTableau"/>
              <w:keepNext/>
              <w:spacing w:after="0"/>
              <w:ind w:left="43" w:right="98"/>
              <w:jc w:val="center"/>
              <w:rPr>
                <w:rFonts w:cs="Arial"/>
                <w:szCs w:val="18"/>
                <w:lang w:val="fr-FR" w:eastAsia="fr-FR"/>
              </w:rPr>
            </w:pPr>
            <w:r w:rsidRPr="00CC6F58">
              <w:rPr>
                <w:rFonts w:cs="Arial"/>
                <w:szCs w:val="18"/>
                <w:lang w:val="fr-FR" w:eastAsia="fr-FR"/>
              </w:rPr>
              <w:t>40 mg/ml :</w:t>
            </w:r>
          </w:p>
          <w:p w14:paraId="34B2E713" w14:textId="77777777" w:rsidR="006F7B2A" w:rsidRPr="00525B67" w:rsidRDefault="006F7B2A" w:rsidP="00CC2175">
            <w:pPr>
              <w:ind w:left="43" w:right="98"/>
              <w:rPr>
                <w:rFonts w:cs="Arial"/>
                <w:sz w:val="18"/>
                <w:szCs w:val="18"/>
              </w:rPr>
            </w:pPr>
            <w:r w:rsidRPr="00525B67">
              <w:rPr>
                <w:rFonts w:cs="Arial"/>
                <w:sz w:val="18"/>
                <w:szCs w:val="18"/>
              </w:rPr>
              <w:t>Douleurs intenses et/ou rebelles aux antalgiques de niveau plus faible, devant être traitées par une administration continue de morphine à l’aide de dispositifs médicaux programmables.</w:t>
            </w:r>
          </w:p>
        </w:tc>
        <w:tc>
          <w:tcPr>
            <w:tcW w:w="2170" w:type="dxa"/>
            <w:vMerge/>
            <w:tcBorders>
              <w:left w:val="single" w:sz="4" w:space="0" w:color="A6A6A6"/>
              <w:bottom w:val="single" w:sz="4" w:space="0" w:color="A6A6A6"/>
              <w:right w:val="single" w:sz="4" w:space="0" w:color="A6A6A6"/>
            </w:tcBorders>
          </w:tcPr>
          <w:p w14:paraId="4E579905" w14:textId="77777777" w:rsidR="006F7B2A" w:rsidRPr="00452431" w:rsidRDefault="006F7B2A" w:rsidP="006F7B2A">
            <w:pPr>
              <w:autoSpaceDE w:val="0"/>
              <w:autoSpaceDN w:val="0"/>
              <w:adjustRightInd w:val="0"/>
              <w:jc w:val="center"/>
              <w:rPr>
                <w:rFonts w:cs="Arial"/>
                <w:sz w:val="18"/>
                <w:szCs w:val="18"/>
              </w:rPr>
            </w:pPr>
          </w:p>
        </w:tc>
        <w:tc>
          <w:tcPr>
            <w:tcW w:w="4111" w:type="dxa"/>
            <w:vMerge/>
            <w:tcBorders>
              <w:left w:val="single" w:sz="4" w:space="0" w:color="A6A6A6"/>
              <w:bottom w:val="single" w:sz="4" w:space="0" w:color="A6A6A6"/>
              <w:right w:val="single" w:sz="4" w:space="0" w:color="A6A6A6"/>
            </w:tcBorders>
          </w:tcPr>
          <w:p w14:paraId="11963BD9" w14:textId="77777777" w:rsidR="006F7B2A" w:rsidRPr="00452431" w:rsidRDefault="006F7B2A" w:rsidP="006F7B2A">
            <w:pPr>
              <w:autoSpaceDE w:val="0"/>
              <w:autoSpaceDN w:val="0"/>
              <w:adjustRightInd w:val="0"/>
              <w:jc w:val="center"/>
              <w:rPr>
                <w:rFonts w:cs="Arial"/>
                <w:bCs/>
                <w:color w:val="000000"/>
                <w:sz w:val="18"/>
                <w:szCs w:val="18"/>
              </w:rPr>
            </w:pPr>
          </w:p>
        </w:tc>
      </w:tr>
      <w:tr w:rsidR="006F7B2A" w:rsidRPr="001366D5" w14:paraId="6095F6B1" w14:textId="77777777" w:rsidTr="00475DBD">
        <w:trPr>
          <w:trHeight w:hRule="exact" w:val="1344"/>
        </w:trPr>
        <w:tc>
          <w:tcPr>
            <w:tcW w:w="3402" w:type="dxa"/>
            <w:tcBorders>
              <w:top w:val="single" w:sz="4" w:space="0" w:color="A6A6A6"/>
              <w:left w:val="single" w:sz="4" w:space="0" w:color="A6A6A6"/>
              <w:bottom w:val="single" w:sz="4" w:space="0" w:color="A6A6A6"/>
              <w:right w:val="single" w:sz="4" w:space="0" w:color="A6A6A6"/>
            </w:tcBorders>
          </w:tcPr>
          <w:p w14:paraId="6CF20389" w14:textId="7757F4B7" w:rsidR="006F7B2A" w:rsidRPr="00CC6F58" w:rsidRDefault="006F7B2A" w:rsidP="006177E6">
            <w:pPr>
              <w:spacing w:before="60"/>
              <w:ind w:left="187" w:right="96"/>
              <w:jc w:val="left"/>
              <w:rPr>
                <w:rFonts w:cs="Arial"/>
                <w:b/>
                <w:sz w:val="18"/>
                <w:szCs w:val="18"/>
              </w:rPr>
            </w:pPr>
            <w:r w:rsidRPr="00CC6F58">
              <w:rPr>
                <w:rFonts w:cs="Arial"/>
                <w:b/>
                <w:sz w:val="18"/>
                <w:szCs w:val="18"/>
              </w:rPr>
              <w:t>MORPHINE (CHLORHYDRATE) COOPER</w:t>
            </w:r>
            <w:r w:rsidR="00FE7D0F">
              <w:rPr>
                <w:rFonts w:cs="Arial"/>
                <w:b/>
                <w:sz w:val="18"/>
                <w:szCs w:val="18"/>
              </w:rPr>
              <w:t xml:space="preserve"> inj</w:t>
            </w:r>
            <w:r w:rsidR="00B54237">
              <w:rPr>
                <w:rFonts w:cs="Arial"/>
                <w:b/>
                <w:sz w:val="18"/>
                <w:szCs w:val="18"/>
              </w:rPr>
              <w:t>ectable</w:t>
            </w:r>
          </w:p>
          <w:p w14:paraId="1B7E8892" w14:textId="77777777" w:rsidR="006F7B2A" w:rsidRPr="00CC6F58" w:rsidRDefault="006F7B2A" w:rsidP="00CC2175">
            <w:pPr>
              <w:ind w:left="185" w:right="99"/>
              <w:jc w:val="left"/>
              <w:rPr>
                <w:rFonts w:cs="Arial"/>
                <w:sz w:val="18"/>
                <w:szCs w:val="18"/>
              </w:rPr>
            </w:pPr>
            <w:r w:rsidRPr="00CC6F58">
              <w:rPr>
                <w:rFonts w:cs="Arial"/>
                <w:sz w:val="18"/>
                <w:szCs w:val="18"/>
              </w:rPr>
              <w:t>(chlorhydrate de morphine)</w:t>
            </w:r>
          </w:p>
          <w:p w14:paraId="604A0ECC" w14:textId="77777777" w:rsidR="006F7B2A" w:rsidRDefault="006F7B2A" w:rsidP="00CC2175">
            <w:pPr>
              <w:ind w:left="185" w:right="99"/>
              <w:jc w:val="left"/>
              <w:rPr>
                <w:rFonts w:cs="Arial"/>
                <w:i/>
                <w:sz w:val="18"/>
                <w:szCs w:val="18"/>
              </w:rPr>
            </w:pPr>
            <w:r w:rsidRPr="00CC6F58">
              <w:rPr>
                <w:rFonts w:cs="Arial"/>
                <w:i/>
                <w:sz w:val="18"/>
                <w:szCs w:val="18"/>
              </w:rPr>
              <w:t>Cooper</w:t>
            </w:r>
          </w:p>
          <w:p w14:paraId="14268613" w14:textId="77777777" w:rsidR="006F7B2A" w:rsidRPr="00452431" w:rsidRDefault="006F7B2A" w:rsidP="00CC2175">
            <w:pPr>
              <w:spacing w:before="120"/>
              <w:ind w:left="185" w:right="99"/>
              <w:jc w:val="left"/>
              <w:rPr>
                <w:rFonts w:cs="Arial"/>
                <w:b/>
                <w:sz w:val="18"/>
                <w:szCs w:val="18"/>
              </w:rPr>
            </w:pPr>
            <w:r w:rsidRPr="00452431">
              <w:rPr>
                <w:rFonts w:cs="Arial"/>
                <w:b/>
                <w:sz w:val="18"/>
                <w:szCs w:val="18"/>
              </w:rPr>
              <w:t>Adulte et enfant</w:t>
            </w:r>
          </w:p>
        </w:tc>
        <w:tc>
          <w:tcPr>
            <w:tcW w:w="4819" w:type="dxa"/>
            <w:tcBorders>
              <w:top w:val="single" w:sz="4" w:space="0" w:color="A6A6A6"/>
              <w:left w:val="single" w:sz="4" w:space="0" w:color="A6A6A6"/>
              <w:bottom w:val="single" w:sz="4" w:space="0" w:color="A6A6A6"/>
              <w:right w:val="single" w:sz="4" w:space="0" w:color="A6A6A6"/>
            </w:tcBorders>
            <w:vAlign w:val="center"/>
          </w:tcPr>
          <w:p w14:paraId="24F231D7" w14:textId="77777777" w:rsidR="006F7B2A" w:rsidRPr="00CC6F58" w:rsidRDefault="006F7B2A" w:rsidP="00CC2175">
            <w:pPr>
              <w:pStyle w:val="TexteTableau"/>
              <w:keepNext/>
              <w:spacing w:after="0"/>
              <w:ind w:left="43" w:right="98"/>
              <w:rPr>
                <w:rFonts w:cs="Arial"/>
                <w:szCs w:val="18"/>
                <w:lang w:val="fr-FR" w:eastAsia="fr-FR"/>
              </w:rPr>
            </w:pPr>
            <w:r w:rsidRPr="00CC6F58">
              <w:rPr>
                <w:rFonts w:cs="Arial"/>
                <w:szCs w:val="18"/>
              </w:rPr>
              <w:t>Douleurs intenses et/ou rebelles aux antalgiques de niveau plus faible.</w:t>
            </w:r>
          </w:p>
        </w:tc>
        <w:tc>
          <w:tcPr>
            <w:tcW w:w="2170" w:type="dxa"/>
            <w:tcBorders>
              <w:top w:val="single" w:sz="4" w:space="0" w:color="A6A6A6"/>
              <w:left w:val="single" w:sz="4" w:space="0" w:color="A6A6A6"/>
              <w:bottom w:val="single" w:sz="4" w:space="0" w:color="A6A6A6"/>
              <w:right w:val="single" w:sz="4" w:space="0" w:color="A6A6A6"/>
            </w:tcBorders>
            <w:vAlign w:val="center"/>
          </w:tcPr>
          <w:p w14:paraId="1CDC5152" w14:textId="77777777" w:rsidR="006F7B2A" w:rsidRDefault="006F7B2A" w:rsidP="00F94D1C">
            <w:pPr>
              <w:jc w:val="center"/>
              <w:rPr>
                <w:rFonts w:cs="Arial"/>
                <w:sz w:val="18"/>
                <w:szCs w:val="18"/>
              </w:rPr>
            </w:pPr>
            <w:r>
              <w:rPr>
                <w:rFonts w:cs="Arial"/>
                <w:sz w:val="18"/>
                <w:szCs w:val="18"/>
              </w:rPr>
              <w:t>20/04/2016</w:t>
            </w:r>
          </w:p>
          <w:p w14:paraId="4B2874E7" w14:textId="77777777" w:rsidR="00C84278" w:rsidRDefault="00C84278" w:rsidP="00F94D1C">
            <w:pPr>
              <w:jc w:val="center"/>
              <w:rPr>
                <w:rFonts w:cs="Arial"/>
                <w:sz w:val="18"/>
                <w:szCs w:val="18"/>
              </w:rPr>
            </w:pPr>
            <w:r>
              <w:rPr>
                <w:rFonts w:cs="Arial"/>
                <w:sz w:val="18"/>
                <w:szCs w:val="18"/>
              </w:rPr>
              <w:t>RI</w:t>
            </w:r>
          </w:p>
          <w:p w14:paraId="76CEECBC" w14:textId="77777777" w:rsidR="00C84278" w:rsidRDefault="00C84278" w:rsidP="00F94D1C">
            <w:pPr>
              <w:jc w:val="center"/>
              <w:rPr>
                <w:rFonts w:cs="Arial"/>
                <w:sz w:val="18"/>
                <w:szCs w:val="18"/>
              </w:rPr>
            </w:pPr>
          </w:p>
          <w:p w14:paraId="7A6EBBA6" w14:textId="7B5CEBB8" w:rsidR="00C84278" w:rsidRPr="00CC6F58" w:rsidRDefault="00C84278" w:rsidP="00F94D1C">
            <w:pPr>
              <w:jc w:val="center"/>
              <w:rPr>
                <w:rFonts w:cs="Arial"/>
                <w:sz w:val="18"/>
                <w:szCs w:val="18"/>
              </w:rPr>
            </w:pPr>
            <w:r>
              <w:rPr>
                <w:rFonts w:cs="Arial"/>
                <w:sz w:val="18"/>
                <w:szCs w:val="18"/>
              </w:rPr>
              <w:t>Réévaluation mars 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7E7B7073" w14:textId="23FD9E51" w:rsidR="006F7B2A" w:rsidRPr="00280E82" w:rsidRDefault="006F7B2A" w:rsidP="00EA50C2">
            <w:pPr>
              <w:autoSpaceDE w:val="0"/>
              <w:autoSpaceDN w:val="0"/>
              <w:adjustRightInd w:val="0"/>
              <w:jc w:val="center"/>
              <w:rPr>
                <w:rFonts w:cs="Arial"/>
                <w:bCs/>
                <w:color w:val="000000"/>
                <w:sz w:val="18"/>
                <w:szCs w:val="18"/>
              </w:rPr>
            </w:pPr>
            <w:r w:rsidRPr="00C34E60">
              <w:rPr>
                <w:rFonts w:cs="Arial"/>
                <w:bCs/>
                <w:color w:val="000000"/>
                <w:sz w:val="18"/>
                <w:szCs w:val="18"/>
              </w:rPr>
              <w:t>Important</w:t>
            </w:r>
          </w:p>
        </w:tc>
      </w:tr>
      <w:tr w:rsidR="00EA50C2" w:rsidRPr="00EA50C2" w14:paraId="6B630A0D"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7425DB82" w14:textId="0FD68BD8" w:rsidR="006F7B2A" w:rsidRPr="00EA50C2" w:rsidRDefault="00EA50C2" w:rsidP="00CC2175">
            <w:pPr>
              <w:autoSpaceDE w:val="0"/>
              <w:autoSpaceDN w:val="0"/>
              <w:adjustRightInd w:val="0"/>
              <w:ind w:left="185" w:right="99"/>
              <w:jc w:val="center"/>
              <w:rPr>
                <w:rFonts w:cs="Arial"/>
                <w:b/>
                <w:sz w:val="20"/>
                <w:szCs w:val="18"/>
              </w:rPr>
            </w:pPr>
            <w:r w:rsidRPr="00EA50C2">
              <w:rPr>
                <w:b/>
                <w:sz w:val="20"/>
                <w:szCs w:val="22"/>
              </w:rPr>
              <w:t>Oxycodone</w:t>
            </w:r>
          </w:p>
        </w:tc>
      </w:tr>
      <w:tr w:rsidR="006F7B2A" w14:paraId="2558E45F" w14:textId="77777777" w:rsidTr="00FE1CFB">
        <w:trPr>
          <w:trHeight w:hRule="exact" w:val="1670"/>
        </w:trPr>
        <w:tc>
          <w:tcPr>
            <w:tcW w:w="3402" w:type="dxa"/>
            <w:tcBorders>
              <w:top w:val="single" w:sz="4" w:space="0" w:color="A6A6A6"/>
              <w:left w:val="single" w:sz="4" w:space="0" w:color="A6A6A6"/>
              <w:bottom w:val="single" w:sz="4" w:space="0" w:color="A6A6A6"/>
              <w:right w:val="single" w:sz="4" w:space="0" w:color="A6A6A6"/>
            </w:tcBorders>
            <w:vAlign w:val="center"/>
          </w:tcPr>
          <w:p w14:paraId="5185906E" w14:textId="7DA9BA4F" w:rsidR="006F7B2A" w:rsidRPr="009E0711" w:rsidRDefault="006F7B2A" w:rsidP="0095765D">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7" w:right="96"/>
              <w:jc w:val="left"/>
              <w:rPr>
                <w:i w:val="0"/>
                <w:sz w:val="18"/>
                <w:szCs w:val="18"/>
                <w:lang w:val="en-GB"/>
              </w:rPr>
            </w:pPr>
            <w:r w:rsidRPr="009E0711">
              <w:rPr>
                <w:b/>
                <w:i w:val="0"/>
                <w:sz w:val="18"/>
                <w:szCs w:val="18"/>
                <w:lang w:val="en-GB"/>
              </w:rPr>
              <w:t>OXYCONTIN LP</w:t>
            </w:r>
            <w:r w:rsidR="00FE7D0F">
              <w:rPr>
                <w:b/>
                <w:i w:val="0"/>
                <w:sz w:val="18"/>
                <w:szCs w:val="18"/>
                <w:lang w:val="en-GB"/>
              </w:rPr>
              <w:t xml:space="preserve"> cp</w:t>
            </w:r>
          </w:p>
          <w:p w14:paraId="0C02A19C" w14:textId="0D080D00" w:rsidR="006F7B2A" w:rsidRPr="009E0711" w:rsidRDefault="006F7B2A" w:rsidP="0095765D">
            <w:pPr>
              <w:ind w:left="185" w:right="99"/>
              <w:jc w:val="left"/>
              <w:rPr>
                <w:bCs/>
                <w:sz w:val="18"/>
                <w:szCs w:val="18"/>
                <w:lang w:val="en-GB"/>
              </w:rPr>
            </w:pPr>
            <w:r w:rsidRPr="009E0711">
              <w:rPr>
                <w:b/>
                <w:bCs/>
                <w:sz w:val="18"/>
                <w:szCs w:val="18"/>
                <w:lang w:val="en-GB"/>
              </w:rPr>
              <w:t>OXYNORM</w:t>
            </w:r>
            <w:r w:rsidR="00FE7D0F">
              <w:rPr>
                <w:b/>
                <w:bCs/>
                <w:sz w:val="18"/>
                <w:szCs w:val="18"/>
                <w:lang w:val="en-GB"/>
              </w:rPr>
              <w:t xml:space="preserve"> cp</w:t>
            </w:r>
          </w:p>
          <w:p w14:paraId="2F081540" w14:textId="6109FA2E" w:rsidR="006F7B2A" w:rsidRPr="00FE7D0F" w:rsidRDefault="006F7B2A" w:rsidP="0095765D">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5" w:right="99"/>
              <w:jc w:val="left"/>
              <w:rPr>
                <w:b/>
                <w:i w:val="0"/>
                <w:sz w:val="18"/>
                <w:szCs w:val="18"/>
                <w:lang w:val="en-GB"/>
              </w:rPr>
            </w:pPr>
            <w:r w:rsidRPr="00FE7D0F">
              <w:rPr>
                <w:b/>
                <w:i w:val="0"/>
                <w:sz w:val="18"/>
                <w:szCs w:val="18"/>
                <w:lang w:val="en-GB"/>
              </w:rPr>
              <w:t>OXYNORMORO</w:t>
            </w:r>
            <w:r w:rsidR="00FE7D0F" w:rsidRPr="00FE7D0F">
              <w:rPr>
                <w:b/>
                <w:i w:val="0"/>
                <w:sz w:val="18"/>
                <w:szCs w:val="18"/>
                <w:lang w:val="en-GB"/>
              </w:rPr>
              <w:t xml:space="preserve"> cp</w:t>
            </w:r>
          </w:p>
          <w:p w14:paraId="64240965" w14:textId="77777777" w:rsidR="006F7B2A" w:rsidRPr="00AC4E5D" w:rsidRDefault="006F7B2A" w:rsidP="0095765D">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5" w:right="99"/>
              <w:jc w:val="left"/>
              <w:rPr>
                <w:i w:val="0"/>
                <w:sz w:val="18"/>
                <w:szCs w:val="18"/>
              </w:rPr>
            </w:pPr>
            <w:r w:rsidRPr="00AC4E5D">
              <w:rPr>
                <w:i w:val="0"/>
                <w:sz w:val="18"/>
                <w:szCs w:val="18"/>
              </w:rPr>
              <w:t>(oxycodone)</w:t>
            </w:r>
          </w:p>
          <w:p w14:paraId="55895D07" w14:textId="77777777" w:rsidR="006F7B2A" w:rsidRPr="00AC4E5D" w:rsidRDefault="006F7B2A" w:rsidP="0095765D">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5" w:right="99"/>
              <w:jc w:val="left"/>
              <w:rPr>
                <w:sz w:val="18"/>
                <w:szCs w:val="18"/>
              </w:rPr>
            </w:pPr>
            <w:r w:rsidRPr="00AC4E5D">
              <w:rPr>
                <w:sz w:val="18"/>
                <w:szCs w:val="18"/>
              </w:rPr>
              <w:t>Mundipharma</w:t>
            </w:r>
          </w:p>
          <w:p w14:paraId="3F17C050" w14:textId="2CFE91D2" w:rsidR="000C6604" w:rsidRPr="00AC4E5D" w:rsidRDefault="000C6604" w:rsidP="000C6604">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ind w:left="187" w:right="96"/>
              <w:jc w:val="left"/>
              <w:rPr>
                <w:i w:val="0"/>
                <w:sz w:val="18"/>
                <w:szCs w:val="18"/>
              </w:rPr>
            </w:pPr>
            <w:r w:rsidRPr="00AC4E5D">
              <w:rPr>
                <w:i w:val="0"/>
                <w:sz w:val="18"/>
                <w:szCs w:val="18"/>
              </w:rPr>
              <w:t>et génériques</w:t>
            </w:r>
          </w:p>
          <w:p w14:paraId="11C2C09E" w14:textId="77777777" w:rsidR="006F7B2A" w:rsidRPr="00AC4E5D" w:rsidRDefault="006F7B2A" w:rsidP="0095765D">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85" w:right="99"/>
              <w:jc w:val="left"/>
              <w:rPr>
                <w:b/>
                <w:i w:val="0"/>
                <w:sz w:val="18"/>
                <w:szCs w:val="18"/>
              </w:rPr>
            </w:pPr>
            <w:r w:rsidRPr="00AC4E5D">
              <w:rPr>
                <w:b/>
                <w:i w:val="0"/>
                <w:sz w:val="18"/>
                <w:szCs w:val="18"/>
              </w:rPr>
              <w:t>Adulte</w:t>
            </w:r>
          </w:p>
        </w:tc>
        <w:tc>
          <w:tcPr>
            <w:tcW w:w="4819" w:type="dxa"/>
            <w:tcBorders>
              <w:top w:val="single" w:sz="4" w:space="0" w:color="A6A6A6"/>
              <w:left w:val="single" w:sz="4" w:space="0" w:color="A6A6A6"/>
              <w:bottom w:val="single" w:sz="4" w:space="0" w:color="A6A6A6"/>
              <w:right w:val="single" w:sz="4" w:space="0" w:color="A6A6A6"/>
            </w:tcBorders>
            <w:vAlign w:val="center"/>
          </w:tcPr>
          <w:p w14:paraId="77643687" w14:textId="77777777" w:rsidR="006F7B2A" w:rsidRPr="00CC6F58" w:rsidRDefault="006F7B2A" w:rsidP="00CC2175">
            <w:pPr>
              <w:ind w:left="43" w:right="98"/>
              <w:rPr>
                <w:rFonts w:cs="Arial"/>
                <w:b/>
                <w:color w:val="FFFFFF"/>
                <w:sz w:val="18"/>
                <w:szCs w:val="18"/>
              </w:rPr>
            </w:pPr>
            <w:r w:rsidRPr="00B02517">
              <w:rPr>
                <w:sz w:val="18"/>
                <w:szCs w:val="18"/>
              </w:rPr>
              <w:t>Traitement des douleurs sévères qui ne peuvent être correctement traitées que par des analgésiques opioïdes forts, en particulier dans les douleurs d'origine cancéreuse.</w:t>
            </w:r>
          </w:p>
        </w:tc>
        <w:tc>
          <w:tcPr>
            <w:tcW w:w="2170" w:type="dxa"/>
            <w:tcBorders>
              <w:top w:val="single" w:sz="4" w:space="0" w:color="A6A6A6"/>
              <w:left w:val="single" w:sz="4" w:space="0" w:color="A6A6A6"/>
              <w:bottom w:val="single" w:sz="4" w:space="0" w:color="A6A6A6"/>
              <w:right w:val="single" w:sz="4" w:space="0" w:color="A6A6A6"/>
            </w:tcBorders>
            <w:vAlign w:val="center"/>
          </w:tcPr>
          <w:p w14:paraId="5A8CBDAC" w14:textId="77777777" w:rsidR="006F7B2A" w:rsidRDefault="006F7B2A" w:rsidP="00F94D1C">
            <w:pPr>
              <w:jc w:val="center"/>
              <w:rPr>
                <w:sz w:val="18"/>
                <w:szCs w:val="18"/>
              </w:rPr>
            </w:pPr>
            <w:r>
              <w:rPr>
                <w:sz w:val="18"/>
                <w:szCs w:val="18"/>
              </w:rPr>
              <w:t>RI</w:t>
            </w:r>
          </w:p>
          <w:p w14:paraId="64554739" w14:textId="77777777" w:rsidR="006F7B2A" w:rsidRPr="00CC6F58" w:rsidRDefault="006F7B2A" w:rsidP="00F94D1C">
            <w:pPr>
              <w:jc w:val="center"/>
              <w:rPr>
                <w:rFonts w:cs="Arial"/>
                <w:b/>
                <w:color w:val="FFFFFF"/>
                <w:sz w:val="18"/>
                <w:szCs w:val="18"/>
              </w:rPr>
            </w:pPr>
            <w:r w:rsidRPr="00B02517">
              <w:rPr>
                <w:sz w:val="18"/>
                <w:szCs w:val="18"/>
              </w:rPr>
              <w:t>30/05/2018</w:t>
            </w:r>
          </w:p>
        </w:tc>
        <w:tc>
          <w:tcPr>
            <w:tcW w:w="4111" w:type="dxa"/>
            <w:tcBorders>
              <w:top w:val="single" w:sz="4" w:space="0" w:color="A6A6A6"/>
              <w:left w:val="single" w:sz="4" w:space="0" w:color="A6A6A6"/>
              <w:bottom w:val="single" w:sz="4" w:space="0" w:color="A6A6A6"/>
              <w:right w:val="single" w:sz="4" w:space="0" w:color="A6A6A6"/>
            </w:tcBorders>
            <w:vAlign w:val="center"/>
          </w:tcPr>
          <w:p w14:paraId="09949D08" w14:textId="3393DC43" w:rsidR="006F7B2A" w:rsidRPr="00020CF9" w:rsidRDefault="006F7B2A" w:rsidP="006017DD">
            <w:pPr>
              <w:autoSpaceDE w:val="0"/>
              <w:autoSpaceDN w:val="0"/>
              <w:adjustRightInd w:val="0"/>
              <w:ind w:left="43" w:right="137"/>
              <w:rPr>
                <w:rFonts w:cs="Arial"/>
                <w:bCs/>
                <w:color w:val="000000"/>
                <w:sz w:val="18"/>
                <w:szCs w:val="18"/>
              </w:rPr>
            </w:pPr>
            <w:r w:rsidRPr="00677272">
              <w:rPr>
                <w:rFonts w:cs="Arial"/>
                <w:bCs/>
                <w:color w:val="000000"/>
                <w:sz w:val="18"/>
                <w:szCs w:val="18"/>
              </w:rPr>
              <w:t>- important dans la prise en charge des douleurs intenses et/ou rebelles aux antalgiques de</w:t>
            </w:r>
            <w:r w:rsidR="006017DD">
              <w:rPr>
                <w:rFonts w:cs="Arial"/>
                <w:bCs/>
                <w:color w:val="000000"/>
                <w:sz w:val="18"/>
                <w:szCs w:val="18"/>
              </w:rPr>
              <w:t xml:space="preserve"> </w:t>
            </w:r>
            <w:r w:rsidRPr="00677272">
              <w:rPr>
                <w:rFonts w:cs="Arial"/>
                <w:bCs/>
                <w:color w:val="000000"/>
                <w:sz w:val="18"/>
                <w:szCs w:val="18"/>
              </w:rPr>
              <w:t>niveau plus faible, des douleurs sévères d’origine cancéreuse, des douleurs aiguës sévères</w:t>
            </w:r>
            <w:r w:rsidR="006017DD">
              <w:rPr>
                <w:rFonts w:cs="Arial"/>
                <w:bCs/>
                <w:color w:val="000000"/>
                <w:sz w:val="18"/>
                <w:szCs w:val="18"/>
              </w:rPr>
              <w:t xml:space="preserve"> </w:t>
            </w:r>
            <w:r w:rsidRPr="00677272">
              <w:rPr>
                <w:rFonts w:cs="Arial"/>
                <w:bCs/>
                <w:color w:val="000000"/>
                <w:sz w:val="18"/>
                <w:szCs w:val="18"/>
              </w:rPr>
              <w:t>non cancéreuses (douleurs post-opératoires), et des douleurs chroniques sévères d’origine</w:t>
            </w:r>
            <w:r w:rsidR="006017DD">
              <w:rPr>
                <w:rFonts w:cs="Arial"/>
                <w:bCs/>
                <w:color w:val="000000"/>
                <w:sz w:val="18"/>
                <w:szCs w:val="18"/>
              </w:rPr>
              <w:t xml:space="preserve"> </w:t>
            </w:r>
            <w:r w:rsidRPr="00677272">
              <w:rPr>
                <w:rFonts w:cs="Arial"/>
                <w:bCs/>
                <w:color w:val="000000"/>
                <w:sz w:val="18"/>
                <w:szCs w:val="18"/>
              </w:rPr>
              <w:t>neuropathique.</w:t>
            </w:r>
          </w:p>
        </w:tc>
      </w:tr>
      <w:tr w:rsidR="006F7B2A" w:rsidRPr="002F1E93" w14:paraId="1F6602C4" w14:textId="77777777" w:rsidTr="0048444B">
        <w:trPr>
          <w:trHeight w:hRule="exact" w:val="1283"/>
        </w:trPr>
        <w:tc>
          <w:tcPr>
            <w:tcW w:w="3402" w:type="dxa"/>
            <w:tcBorders>
              <w:top w:val="single" w:sz="4" w:space="0" w:color="A6A6A6"/>
              <w:left w:val="single" w:sz="4" w:space="0" w:color="A6A6A6"/>
              <w:bottom w:val="single" w:sz="4" w:space="0" w:color="A6A6A6"/>
              <w:right w:val="single" w:sz="4" w:space="0" w:color="A6A6A6"/>
            </w:tcBorders>
            <w:vAlign w:val="center"/>
          </w:tcPr>
          <w:p w14:paraId="5E3DC748" w14:textId="68AF8D02" w:rsidR="006F7B2A" w:rsidRPr="00722B2C" w:rsidRDefault="006F7B2A" w:rsidP="0095765D">
            <w:pPr>
              <w:ind w:left="187" w:right="96"/>
              <w:jc w:val="left"/>
              <w:rPr>
                <w:rFonts w:cs="Arial"/>
                <w:b/>
                <w:sz w:val="18"/>
                <w:szCs w:val="18"/>
              </w:rPr>
            </w:pPr>
            <w:r w:rsidRPr="00722B2C">
              <w:rPr>
                <w:rFonts w:cs="Arial"/>
                <w:b/>
                <w:sz w:val="18"/>
                <w:szCs w:val="18"/>
              </w:rPr>
              <w:t>TARGINACT</w:t>
            </w:r>
            <w:r w:rsidR="00FE7D0F">
              <w:rPr>
                <w:rFonts w:cs="Arial"/>
                <w:b/>
                <w:sz w:val="18"/>
                <w:szCs w:val="18"/>
              </w:rPr>
              <w:t xml:space="preserve"> cp</w:t>
            </w:r>
          </w:p>
          <w:p w14:paraId="03130CE5" w14:textId="77777777" w:rsidR="006F7B2A" w:rsidRPr="008639AD" w:rsidRDefault="006F7B2A" w:rsidP="0095765D">
            <w:pPr>
              <w:ind w:left="185" w:right="99"/>
              <w:jc w:val="left"/>
              <w:rPr>
                <w:rFonts w:cs="Arial"/>
                <w:sz w:val="18"/>
                <w:szCs w:val="18"/>
              </w:rPr>
            </w:pPr>
            <w:r w:rsidRPr="008639AD">
              <w:rPr>
                <w:rFonts w:cs="Arial"/>
                <w:sz w:val="18"/>
                <w:szCs w:val="18"/>
              </w:rPr>
              <w:t>(oxycodone+naloxone)</w:t>
            </w:r>
          </w:p>
          <w:p w14:paraId="0CE26AB6" w14:textId="77777777" w:rsidR="006F7B2A" w:rsidRDefault="006F7B2A" w:rsidP="0095765D">
            <w:pPr>
              <w:ind w:left="185" w:right="99"/>
              <w:jc w:val="left"/>
              <w:rPr>
                <w:rFonts w:cs="Arial"/>
                <w:i/>
                <w:sz w:val="18"/>
                <w:szCs w:val="18"/>
              </w:rPr>
            </w:pPr>
            <w:r w:rsidRPr="008639AD">
              <w:rPr>
                <w:rFonts w:cs="Arial"/>
                <w:i/>
                <w:sz w:val="18"/>
                <w:szCs w:val="18"/>
              </w:rPr>
              <w:t>Mundipharma</w:t>
            </w:r>
          </w:p>
          <w:p w14:paraId="6073CE65" w14:textId="53C8FA88" w:rsidR="006F7B2A" w:rsidRPr="0095765D" w:rsidRDefault="006F7B2A" w:rsidP="0095765D">
            <w:pPr>
              <w:pStyle w:val="Corpsdetexte"/>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185" w:right="99"/>
              <w:jc w:val="left"/>
              <w:rPr>
                <w:b/>
                <w:i w:val="0"/>
                <w:iCs w:val="0"/>
                <w:sz w:val="18"/>
                <w:szCs w:val="18"/>
              </w:rPr>
            </w:pPr>
            <w:r w:rsidRPr="00807D67">
              <w:rPr>
                <w:b/>
                <w:i w:val="0"/>
                <w:iCs w:val="0"/>
                <w:sz w:val="18"/>
                <w:szCs w:val="18"/>
              </w:rPr>
              <w:t>Adulte</w:t>
            </w:r>
          </w:p>
        </w:tc>
        <w:tc>
          <w:tcPr>
            <w:tcW w:w="4819" w:type="dxa"/>
            <w:tcBorders>
              <w:top w:val="single" w:sz="4" w:space="0" w:color="A6A6A6"/>
              <w:left w:val="single" w:sz="4" w:space="0" w:color="A6A6A6"/>
              <w:bottom w:val="single" w:sz="4" w:space="0" w:color="A6A6A6"/>
              <w:right w:val="single" w:sz="4" w:space="0" w:color="A6A6A6"/>
            </w:tcBorders>
            <w:vAlign w:val="center"/>
          </w:tcPr>
          <w:p w14:paraId="55C1DDFE" w14:textId="77777777" w:rsidR="006F7B2A" w:rsidRPr="00B02517" w:rsidRDefault="006F7B2A" w:rsidP="00CC2175">
            <w:pPr>
              <w:ind w:left="43" w:right="98"/>
              <w:rPr>
                <w:sz w:val="18"/>
                <w:szCs w:val="18"/>
              </w:rPr>
            </w:pPr>
            <w:r w:rsidRPr="008639AD">
              <w:rPr>
                <w:rFonts w:cs="Arial"/>
                <w:sz w:val="18"/>
                <w:szCs w:val="18"/>
              </w:rPr>
              <w:t>Douleur sévère qui ne peut être correctement traitée que par des analgésiques opioïdes. La naloxone, antagoniste opioïde, est ajoutée afin de neutraliser la constipation induite par l’opioïde en bloquant localement l’action de l’oxycodone au niveau des récepteurs intestinaux.</w:t>
            </w:r>
          </w:p>
        </w:tc>
        <w:tc>
          <w:tcPr>
            <w:tcW w:w="2170" w:type="dxa"/>
            <w:tcBorders>
              <w:top w:val="single" w:sz="4" w:space="0" w:color="A6A6A6"/>
              <w:left w:val="single" w:sz="4" w:space="0" w:color="A6A6A6"/>
              <w:bottom w:val="single" w:sz="4" w:space="0" w:color="A6A6A6"/>
              <w:right w:val="single" w:sz="4" w:space="0" w:color="A6A6A6"/>
            </w:tcBorders>
            <w:vAlign w:val="center"/>
          </w:tcPr>
          <w:p w14:paraId="096E494B" w14:textId="77777777" w:rsidR="006F7B2A" w:rsidRDefault="006F7B2A" w:rsidP="0048444B">
            <w:pPr>
              <w:spacing w:before="80"/>
              <w:jc w:val="center"/>
              <w:rPr>
                <w:rFonts w:cs="Arial"/>
                <w:sz w:val="18"/>
                <w:szCs w:val="18"/>
              </w:rPr>
            </w:pPr>
            <w:r w:rsidRPr="008639AD">
              <w:rPr>
                <w:rFonts w:cs="Arial"/>
                <w:sz w:val="18"/>
                <w:szCs w:val="18"/>
              </w:rPr>
              <w:t>7 décembre 2011</w:t>
            </w:r>
          </w:p>
          <w:p w14:paraId="0B0755DA" w14:textId="77777777" w:rsidR="006F7B2A" w:rsidRDefault="006F7B2A" w:rsidP="0048444B">
            <w:pPr>
              <w:jc w:val="center"/>
              <w:rPr>
                <w:rFonts w:cs="Arial"/>
                <w:sz w:val="18"/>
                <w:szCs w:val="18"/>
              </w:rPr>
            </w:pPr>
            <w:r>
              <w:rPr>
                <w:rFonts w:cs="Arial"/>
                <w:sz w:val="18"/>
                <w:szCs w:val="18"/>
              </w:rPr>
              <w:t>Inscription</w:t>
            </w:r>
          </w:p>
          <w:p w14:paraId="337536FB" w14:textId="77777777" w:rsidR="00577237" w:rsidRDefault="00577237" w:rsidP="0048444B">
            <w:pPr>
              <w:jc w:val="center"/>
              <w:rPr>
                <w:rFonts w:cs="Arial"/>
                <w:sz w:val="18"/>
                <w:szCs w:val="18"/>
              </w:rPr>
            </w:pPr>
          </w:p>
          <w:p w14:paraId="44FDA11E" w14:textId="77777777" w:rsidR="006B7DD4" w:rsidRDefault="006B7DD4" w:rsidP="0048444B">
            <w:pPr>
              <w:jc w:val="center"/>
              <w:rPr>
                <w:rFonts w:cs="Arial"/>
                <w:sz w:val="18"/>
                <w:szCs w:val="18"/>
              </w:rPr>
            </w:pPr>
          </w:p>
          <w:p w14:paraId="4E248747" w14:textId="49E4B620" w:rsidR="00577237" w:rsidRPr="00C84278" w:rsidRDefault="00577237" w:rsidP="0048444B">
            <w:pPr>
              <w:jc w:val="center"/>
              <w:rPr>
                <w:rFonts w:cs="Arial"/>
                <w:sz w:val="18"/>
                <w:szCs w:val="18"/>
              </w:rPr>
            </w:pPr>
            <w:r>
              <w:rPr>
                <w:rFonts w:cs="Arial"/>
                <w:sz w:val="18"/>
                <w:szCs w:val="18"/>
              </w:rPr>
              <w:t xml:space="preserve">Réévaluation </w:t>
            </w:r>
            <w:r w:rsidR="00807C97">
              <w:rPr>
                <w:rFonts w:cs="Arial"/>
                <w:sz w:val="18"/>
                <w:szCs w:val="18"/>
              </w:rPr>
              <w:t>03/06/</w:t>
            </w:r>
            <w:r>
              <w:rPr>
                <w:rFonts w:cs="Arial"/>
                <w:sz w:val="18"/>
                <w:szCs w:val="18"/>
              </w:rPr>
              <w:t>2015</w:t>
            </w:r>
          </w:p>
        </w:tc>
        <w:tc>
          <w:tcPr>
            <w:tcW w:w="4111" w:type="dxa"/>
            <w:tcBorders>
              <w:top w:val="single" w:sz="4" w:space="0" w:color="A6A6A6"/>
              <w:left w:val="single" w:sz="4" w:space="0" w:color="A6A6A6"/>
              <w:bottom w:val="single" w:sz="4" w:space="0" w:color="A6A6A6"/>
              <w:right w:val="single" w:sz="4" w:space="0" w:color="A6A6A6"/>
            </w:tcBorders>
            <w:vAlign w:val="center"/>
          </w:tcPr>
          <w:p w14:paraId="6A669F2F" w14:textId="292A7C4E" w:rsidR="006F7B2A" w:rsidRPr="00803B51" w:rsidRDefault="006F7B2A" w:rsidP="0048444B">
            <w:pPr>
              <w:spacing w:before="80"/>
              <w:ind w:left="45" w:right="136"/>
              <w:jc w:val="left"/>
              <w:rPr>
                <w:rFonts w:cs="Arial"/>
                <w:sz w:val="18"/>
                <w:szCs w:val="18"/>
              </w:rPr>
            </w:pPr>
            <w:r w:rsidRPr="00803B51">
              <w:rPr>
                <w:rFonts w:cs="Arial"/>
                <w:sz w:val="18"/>
                <w:szCs w:val="18"/>
              </w:rPr>
              <w:t>Faible dan</w:t>
            </w:r>
            <w:r w:rsidR="0048444B">
              <w:rPr>
                <w:rFonts w:cs="Arial"/>
                <w:sz w:val="18"/>
                <w:szCs w:val="18"/>
              </w:rPr>
              <w:t xml:space="preserve">s l’indication douleurs sévères </w:t>
            </w:r>
            <w:r w:rsidRPr="00803B51">
              <w:rPr>
                <w:rFonts w:cs="Arial"/>
                <w:sz w:val="18"/>
                <w:szCs w:val="18"/>
              </w:rPr>
              <w:t>d’origine cancéreuse</w:t>
            </w:r>
            <w:r w:rsidR="00803B51">
              <w:rPr>
                <w:rFonts w:cs="Arial"/>
                <w:sz w:val="18"/>
                <w:szCs w:val="18"/>
              </w:rPr>
              <w:t xml:space="preserve"> - </w:t>
            </w:r>
            <w:r w:rsidRPr="00803B51">
              <w:rPr>
                <w:rFonts w:cs="Arial"/>
                <w:sz w:val="18"/>
                <w:szCs w:val="18"/>
              </w:rPr>
              <w:t>ASMR V</w:t>
            </w:r>
            <w:r w:rsidR="00803B51">
              <w:rPr>
                <w:rFonts w:cs="Arial"/>
                <w:sz w:val="18"/>
                <w:szCs w:val="18"/>
              </w:rPr>
              <w:t xml:space="preserve"> - </w:t>
            </w:r>
            <w:r w:rsidRPr="00803B51">
              <w:rPr>
                <w:rFonts w:cs="Arial"/>
                <w:sz w:val="18"/>
                <w:szCs w:val="18"/>
              </w:rPr>
              <w:t>Spécialité non inscrite</w:t>
            </w:r>
          </w:p>
          <w:p w14:paraId="1B2CC3F3" w14:textId="1A105949" w:rsidR="006F7B2A" w:rsidRPr="0095765D" w:rsidRDefault="006F7B2A" w:rsidP="0048444B">
            <w:pPr>
              <w:ind w:left="43" w:right="137"/>
              <w:jc w:val="left"/>
              <w:rPr>
                <w:rFonts w:cs="Arial"/>
                <w:sz w:val="18"/>
                <w:szCs w:val="18"/>
              </w:rPr>
            </w:pPr>
            <w:r w:rsidRPr="00803B51">
              <w:rPr>
                <w:rFonts w:cs="Arial"/>
                <w:sz w:val="18"/>
                <w:szCs w:val="18"/>
              </w:rPr>
              <w:t>Insuffisant dans l’indication douleurs sévères non cancéreuses</w:t>
            </w:r>
          </w:p>
        </w:tc>
      </w:tr>
      <w:tr w:rsidR="006F7B2A" w:rsidRPr="00EA50C2" w14:paraId="31028EF7"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2784E99A" w14:textId="6584D032" w:rsidR="006F7B2A" w:rsidRPr="00EA50C2" w:rsidRDefault="00EA50C2" w:rsidP="00EA50C2">
            <w:pPr>
              <w:autoSpaceDE w:val="0"/>
              <w:autoSpaceDN w:val="0"/>
              <w:adjustRightInd w:val="0"/>
              <w:ind w:left="185" w:right="99"/>
              <w:jc w:val="center"/>
              <w:rPr>
                <w:b/>
                <w:sz w:val="20"/>
                <w:szCs w:val="22"/>
              </w:rPr>
            </w:pPr>
            <w:r w:rsidRPr="00EA50C2">
              <w:rPr>
                <w:b/>
                <w:sz w:val="20"/>
                <w:szCs w:val="22"/>
              </w:rPr>
              <w:t>Hydromorphone</w:t>
            </w:r>
          </w:p>
        </w:tc>
      </w:tr>
      <w:tr w:rsidR="006F7B2A" w14:paraId="227BCCA9" w14:textId="77777777" w:rsidTr="006017DD">
        <w:trPr>
          <w:trHeight w:hRule="exact" w:val="1143"/>
        </w:trPr>
        <w:tc>
          <w:tcPr>
            <w:tcW w:w="3402" w:type="dxa"/>
            <w:tcBorders>
              <w:top w:val="single" w:sz="4" w:space="0" w:color="A6A6A6"/>
              <w:left w:val="single" w:sz="4" w:space="0" w:color="A6A6A6"/>
              <w:bottom w:val="single" w:sz="4" w:space="0" w:color="A6A6A6"/>
              <w:right w:val="single" w:sz="4" w:space="0" w:color="A6A6A6"/>
            </w:tcBorders>
            <w:vAlign w:val="center"/>
          </w:tcPr>
          <w:p w14:paraId="63BB20FE" w14:textId="06FE791D" w:rsidR="00FE7D0F" w:rsidRPr="00B54237" w:rsidRDefault="006F7B2A" w:rsidP="0095765D">
            <w:pPr>
              <w:spacing w:before="60"/>
              <w:ind w:left="187" w:right="96"/>
              <w:jc w:val="left"/>
              <w:rPr>
                <w:b/>
                <w:sz w:val="18"/>
                <w:szCs w:val="18"/>
              </w:rPr>
            </w:pPr>
            <w:r w:rsidRPr="00FE7D0F">
              <w:rPr>
                <w:b/>
                <w:sz w:val="18"/>
                <w:szCs w:val="18"/>
              </w:rPr>
              <w:t>SOPHIDONE LP</w:t>
            </w:r>
            <w:r w:rsidRPr="00C6432D">
              <w:rPr>
                <w:bCs/>
                <w:sz w:val="18"/>
                <w:szCs w:val="18"/>
              </w:rPr>
              <w:t xml:space="preserve"> </w:t>
            </w:r>
            <w:r w:rsidR="00FE7D0F" w:rsidRPr="00B54237">
              <w:rPr>
                <w:b/>
                <w:sz w:val="18"/>
                <w:szCs w:val="18"/>
              </w:rPr>
              <w:t>gélule</w:t>
            </w:r>
          </w:p>
          <w:p w14:paraId="4A336149" w14:textId="6422CD07" w:rsidR="006F7B2A" w:rsidRPr="00C6432D" w:rsidRDefault="006F7B2A" w:rsidP="0095765D">
            <w:pPr>
              <w:ind w:left="187" w:right="96"/>
              <w:jc w:val="left"/>
              <w:rPr>
                <w:bCs/>
                <w:sz w:val="18"/>
                <w:szCs w:val="18"/>
              </w:rPr>
            </w:pPr>
            <w:r w:rsidRPr="00C6432D">
              <w:rPr>
                <w:bCs/>
                <w:sz w:val="18"/>
                <w:szCs w:val="18"/>
              </w:rPr>
              <w:t xml:space="preserve">(hydromorphone chlorhydrate) </w:t>
            </w:r>
          </w:p>
          <w:p w14:paraId="30281945" w14:textId="77777777" w:rsidR="006F7B2A" w:rsidRDefault="006F7B2A" w:rsidP="0095765D">
            <w:pPr>
              <w:ind w:left="185" w:right="99"/>
              <w:jc w:val="left"/>
              <w:rPr>
                <w:bCs/>
                <w:i/>
                <w:sz w:val="18"/>
                <w:szCs w:val="18"/>
              </w:rPr>
            </w:pPr>
            <w:r w:rsidRPr="00B02517">
              <w:rPr>
                <w:bCs/>
                <w:i/>
                <w:sz w:val="18"/>
                <w:szCs w:val="18"/>
              </w:rPr>
              <w:t>Mundipharma</w:t>
            </w:r>
          </w:p>
          <w:p w14:paraId="01C820DD" w14:textId="174313AB" w:rsidR="00773AE2" w:rsidRPr="00B54237" w:rsidRDefault="006F7B2A" w:rsidP="00C523F4">
            <w:pPr>
              <w:spacing w:before="80"/>
              <w:ind w:left="187" w:right="96"/>
              <w:jc w:val="left"/>
              <w:rPr>
                <w:b/>
                <w:iCs/>
                <w:sz w:val="18"/>
                <w:szCs w:val="18"/>
              </w:rPr>
            </w:pPr>
            <w:r w:rsidRPr="00807D67">
              <w:rPr>
                <w:b/>
                <w:iCs/>
                <w:sz w:val="18"/>
                <w:szCs w:val="18"/>
              </w:rPr>
              <w:t>Adulte et enfant de 7 à 15 ans</w:t>
            </w:r>
          </w:p>
        </w:tc>
        <w:tc>
          <w:tcPr>
            <w:tcW w:w="4819" w:type="dxa"/>
            <w:tcBorders>
              <w:top w:val="single" w:sz="4" w:space="0" w:color="A6A6A6"/>
              <w:left w:val="single" w:sz="4" w:space="0" w:color="A6A6A6"/>
              <w:bottom w:val="single" w:sz="4" w:space="0" w:color="A6A6A6"/>
              <w:right w:val="single" w:sz="4" w:space="0" w:color="A6A6A6"/>
            </w:tcBorders>
            <w:vAlign w:val="center"/>
          </w:tcPr>
          <w:p w14:paraId="75A16612" w14:textId="77777777" w:rsidR="006F7B2A" w:rsidRPr="00C6432D" w:rsidRDefault="006F7B2A" w:rsidP="00D07E58">
            <w:pPr>
              <w:autoSpaceDE w:val="0"/>
              <w:autoSpaceDN w:val="0"/>
              <w:adjustRightInd w:val="0"/>
              <w:ind w:left="43" w:right="98"/>
              <w:rPr>
                <w:sz w:val="18"/>
                <w:szCs w:val="18"/>
              </w:rPr>
            </w:pPr>
            <w:r w:rsidRPr="00C6432D">
              <w:rPr>
                <w:rFonts w:cs="Arial"/>
                <w:bCs/>
                <w:sz w:val="18"/>
                <w:szCs w:val="18"/>
              </w:rPr>
              <w:t>Traitement des douleurs intenses d'origin</w:t>
            </w:r>
            <w:r w:rsidR="00CC2175" w:rsidRPr="00C6432D">
              <w:rPr>
                <w:rFonts w:cs="Arial"/>
                <w:bCs/>
                <w:sz w:val="18"/>
                <w:szCs w:val="18"/>
              </w:rPr>
              <w:t xml:space="preserve">e </w:t>
            </w:r>
            <w:r w:rsidRPr="00C6432D">
              <w:rPr>
                <w:rFonts w:cs="Arial"/>
                <w:bCs/>
                <w:sz w:val="18"/>
                <w:szCs w:val="18"/>
              </w:rPr>
              <w:t>cancéreuse en cas de résistance ou d'intolérance aux opioïdes forts</w:t>
            </w:r>
          </w:p>
        </w:tc>
        <w:tc>
          <w:tcPr>
            <w:tcW w:w="2170" w:type="dxa"/>
            <w:tcBorders>
              <w:top w:val="single" w:sz="4" w:space="0" w:color="A6A6A6"/>
              <w:left w:val="single" w:sz="4" w:space="0" w:color="A6A6A6"/>
              <w:bottom w:val="single" w:sz="4" w:space="0" w:color="A6A6A6"/>
              <w:right w:val="single" w:sz="4" w:space="0" w:color="A6A6A6"/>
            </w:tcBorders>
            <w:vAlign w:val="center"/>
          </w:tcPr>
          <w:p w14:paraId="4BD5ABB0" w14:textId="77777777" w:rsidR="006F7B2A" w:rsidRDefault="006F7B2A" w:rsidP="006F7B2A">
            <w:pPr>
              <w:jc w:val="center"/>
              <w:rPr>
                <w:sz w:val="18"/>
                <w:szCs w:val="18"/>
              </w:rPr>
            </w:pPr>
            <w:r w:rsidRPr="004660B5">
              <w:rPr>
                <w:sz w:val="18"/>
                <w:szCs w:val="18"/>
              </w:rPr>
              <w:t>30/05/2018</w:t>
            </w:r>
          </w:p>
          <w:p w14:paraId="5F28661D" w14:textId="77777777" w:rsidR="00D21FD4" w:rsidRPr="004660B5" w:rsidRDefault="00D21FD4" w:rsidP="006F7B2A">
            <w:pPr>
              <w:jc w:val="center"/>
              <w:rPr>
                <w:sz w:val="18"/>
                <w:szCs w:val="18"/>
              </w:rPr>
            </w:pPr>
            <w:r>
              <w:rPr>
                <w:sz w:val="18"/>
                <w:szCs w:val="18"/>
              </w:rPr>
              <w:t>RI</w:t>
            </w:r>
          </w:p>
        </w:tc>
        <w:tc>
          <w:tcPr>
            <w:tcW w:w="4111" w:type="dxa"/>
            <w:tcBorders>
              <w:top w:val="single" w:sz="4" w:space="0" w:color="A6A6A6"/>
              <w:left w:val="single" w:sz="4" w:space="0" w:color="A6A6A6"/>
              <w:bottom w:val="single" w:sz="4" w:space="0" w:color="A6A6A6"/>
              <w:right w:val="single" w:sz="4" w:space="0" w:color="A6A6A6"/>
            </w:tcBorders>
            <w:vAlign w:val="center"/>
          </w:tcPr>
          <w:p w14:paraId="2BE244F2" w14:textId="77777777" w:rsidR="006F7B2A" w:rsidRPr="00CC6F58" w:rsidRDefault="006F7B2A" w:rsidP="006F7B2A">
            <w:pPr>
              <w:jc w:val="center"/>
              <w:rPr>
                <w:rFonts w:cs="Arial"/>
                <w:b/>
                <w:color w:val="FFFFFF"/>
                <w:sz w:val="18"/>
                <w:szCs w:val="18"/>
              </w:rPr>
            </w:pPr>
            <w:r w:rsidRPr="00B02517">
              <w:rPr>
                <w:b/>
                <w:sz w:val="18"/>
                <w:szCs w:val="18"/>
              </w:rPr>
              <w:t>Important</w:t>
            </w:r>
          </w:p>
        </w:tc>
      </w:tr>
      <w:tr w:rsidR="006F7B2A" w:rsidRPr="00EA50C2" w14:paraId="4C3299D8"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02673395" w14:textId="62AB8608" w:rsidR="006F7B2A" w:rsidRPr="00EA50C2" w:rsidRDefault="00EA50C2" w:rsidP="00EA50C2">
            <w:pPr>
              <w:autoSpaceDE w:val="0"/>
              <w:autoSpaceDN w:val="0"/>
              <w:adjustRightInd w:val="0"/>
              <w:ind w:left="185" w:right="99"/>
              <w:jc w:val="center"/>
              <w:rPr>
                <w:b/>
                <w:sz w:val="20"/>
                <w:szCs w:val="22"/>
              </w:rPr>
            </w:pPr>
            <w:r w:rsidRPr="00EA50C2">
              <w:rPr>
                <w:b/>
                <w:sz w:val="20"/>
                <w:szCs w:val="22"/>
              </w:rPr>
              <w:t>Fentanyl</w:t>
            </w:r>
          </w:p>
        </w:tc>
      </w:tr>
      <w:tr w:rsidR="007E61BD" w14:paraId="60DE8D13" w14:textId="77777777" w:rsidTr="006017DD">
        <w:trPr>
          <w:trHeight w:hRule="exact" w:val="1561"/>
        </w:trPr>
        <w:tc>
          <w:tcPr>
            <w:tcW w:w="3402" w:type="dxa"/>
            <w:tcBorders>
              <w:top w:val="single" w:sz="4" w:space="0" w:color="A6A6A6"/>
              <w:left w:val="single" w:sz="4" w:space="0" w:color="A6A6A6"/>
              <w:bottom w:val="single" w:sz="4" w:space="0" w:color="A6A6A6"/>
              <w:right w:val="single" w:sz="4" w:space="0" w:color="A6A6A6"/>
            </w:tcBorders>
            <w:vAlign w:val="center"/>
          </w:tcPr>
          <w:p w14:paraId="3BDCC9DE" w14:textId="02464481" w:rsidR="007E61BD" w:rsidRDefault="007E61BD" w:rsidP="007E61BD">
            <w:pPr>
              <w:autoSpaceDE w:val="0"/>
              <w:autoSpaceDN w:val="0"/>
              <w:adjustRightInd w:val="0"/>
              <w:spacing w:before="60"/>
              <w:ind w:left="187" w:right="96"/>
              <w:jc w:val="left"/>
              <w:rPr>
                <w:rFonts w:cs="Arial"/>
                <w:b/>
                <w:bCs/>
                <w:color w:val="FF0000"/>
                <w:sz w:val="18"/>
                <w:szCs w:val="18"/>
              </w:rPr>
            </w:pPr>
            <w:r w:rsidRPr="007E61BD">
              <w:rPr>
                <w:rFonts w:cs="Arial"/>
                <w:b/>
                <w:bCs/>
                <w:sz w:val="18"/>
                <w:szCs w:val="18"/>
              </w:rPr>
              <w:t>DUROGESIC, dispositif transdermique</w:t>
            </w:r>
          </w:p>
          <w:p w14:paraId="5256418E" w14:textId="2CA97962" w:rsidR="007E61BD" w:rsidRDefault="007E61BD" w:rsidP="007E61BD">
            <w:pPr>
              <w:autoSpaceDE w:val="0"/>
              <w:autoSpaceDN w:val="0"/>
              <w:adjustRightInd w:val="0"/>
              <w:spacing w:before="60"/>
              <w:ind w:left="187" w:right="96"/>
              <w:jc w:val="left"/>
              <w:rPr>
                <w:rFonts w:cs="Arial"/>
                <w:color w:val="000000" w:themeColor="text1"/>
                <w:sz w:val="18"/>
                <w:szCs w:val="18"/>
              </w:rPr>
            </w:pPr>
            <w:r w:rsidRPr="00B54237">
              <w:rPr>
                <w:rFonts w:cs="Arial"/>
                <w:color w:val="000000" w:themeColor="text1"/>
                <w:sz w:val="18"/>
                <w:szCs w:val="18"/>
              </w:rPr>
              <w:t>et génériques</w:t>
            </w:r>
          </w:p>
          <w:p w14:paraId="58182159" w14:textId="6941DEEF" w:rsidR="007E61BD" w:rsidRPr="00EA50C2" w:rsidRDefault="00C523F4" w:rsidP="00EA50C2">
            <w:pPr>
              <w:autoSpaceDE w:val="0"/>
              <w:autoSpaceDN w:val="0"/>
              <w:adjustRightInd w:val="0"/>
              <w:spacing w:before="80"/>
              <w:ind w:left="187" w:right="96"/>
              <w:jc w:val="left"/>
              <w:rPr>
                <w:rFonts w:cs="Arial"/>
                <w:color w:val="000000" w:themeColor="text1"/>
                <w:sz w:val="18"/>
                <w:szCs w:val="18"/>
              </w:rPr>
            </w:pPr>
            <w:r w:rsidRPr="00807D67">
              <w:rPr>
                <w:b/>
                <w:iCs/>
                <w:sz w:val="18"/>
                <w:szCs w:val="18"/>
              </w:rPr>
              <w:t xml:space="preserve">Adulte et enfant </w:t>
            </w:r>
            <w:r>
              <w:rPr>
                <w:b/>
                <w:iCs/>
                <w:sz w:val="18"/>
                <w:szCs w:val="18"/>
              </w:rPr>
              <w:t>à partir de 2</w:t>
            </w:r>
            <w:r w:rsidRPr="00807D67">
              <w:rPr>
                <w:b/>
                <w:iCs/>
                <w:sz w:val="18"/>
                <w:szCs w:val="18"/>
              </w:rPr>
              <w:t xml:space="preserve"> ans</w:t>
            </w:r>
          </w:p>
        </w:tc>
        <w:tc>
          <w:tcPr>
            <w:tcW w:w="4819" w:type="dxa"/>
            <w:tcBorders>
              <w:top w:val="single" w:sz="4" w:space="0" w:color="A6A6A6"/>
              <w:left w:val="single" w:sz="4" w:space="0" w:color="A6A6A6"/>
              <w:right w:val="single" w:sz="4" w:space="0" w:color="A6A6A6"/>
            </w:tcBorders>
            <w:vAlign w:val="center"/>
          </w:tcPr>
          <w:p w14:paraId="30C444A0" w14:textId="026E7885" w:rsidR="007E61BD" w:rsidRPr="00DA640D" w:rsidRDefault="007E61BD" w:rsidP="007E61BD">
            <w:pPr>
              <w:autoSpaceDE w:val="0"/>
              <w:autoSpaceDN w:val="0"/>
              <w:adjustRightInd w:val="0"/>
              <w:ind w:left="43" w:right="142"/>
              <w:rPr>
                <w:rFonts w:cs="Arial"/>
                <w:color w:val="FF0000"/>
                <w:sz w:val="18"/>
                <w:szCs w:val="18"/>
              </w:rPr>
            </w:pPr>
            <w:r w:rsidRPr="00434D11">
              <w:rPr>
                <w:color w:val="000000" w:themeColor="text1"/>
                <w:sz w:val="18"/>
                <w:szCs w:val="18"/>
              </w:rPr>
              <w:t>Chez l'adulte DUROGESIC est indiqué dans le traitement des douleurs chroniques sévères, qui ne peuvent être correctement traitées que par des analgésiques opioïdes. Chez l'enfant DUROGESIC est indiqué dans le traitement au long cours des douleurs chroniques sévères chez les enfants à partir de 2 ans recevant des analgésiques opioïdes.</w:t>
            </w:r>
          </w:p>
        </w:tc>
        <w:tc>
          <w:tcPr>
            <w:tcW w:w="2170" w:type="dxa"/>
            <w:tcBorders>
              <w:top w:val="single" w:sz="4" w:space="0" w:color="A6A6A6"/>
              <w:left w:val="single" w:sz="4" w:space="0" w:color="A6A6A6"/>
              <w:bottom w:val="single" w:sz="4" w:space="0" w:color="A6A6A6"/>
              <w:right w:val="single" w:sz="4" w:space="0" w:color="A6A6A6"/>
            </w:tcBorders>
            <w:vAlign w:val="center"/>
          </w:tcPr>
          <w:p w14:paraId="6FD10CCA" w14:textId="77777777" w:rsidR="007E61BD" w:rsidRPr="00B8164F" w:rsidRDefault="007E61BD" w:rsidP="00475DBD">
            <w:pPr>
              <w:jc w:val="center"/>
              <w:rPr>
                <w:bCs/>
                <w:color w:val="000000" w:themeColor="text1"/>
                <w:sz w:val="18"/>
                <w:szCs w:val="18"/>
              </w:rPr>
            </w:pPr>
            <w:r w:rsidRPr="00B8164F">
              <w:rPr>
                <w:bCs/>
                <w:color w:val="000000" w:themeColor="text1"/>
                <w:sz w:val="18"/>
                <w:szCs w:val="18"/>
              </w:rPr>
              <w:t>08/02/2017</w:t>
            </w:r>
          </w:p>
          <w:p w14:paraId="521DB788" w14:textId="77777777" w:rsidR="007E61BD" w:rsidRPr="00B8164F" w:rsidRDefault="007E61BD" w:rsidP="00475DBD">
            <w:pPr>
              <w:jc w:val="center"/>
              <w:rPr>
                <w:bCs/>
                <w:color w:val="000000" w:themeColor="text1"/>
                <w:sz w:val="18"/>
                <w:szCs w:val="18"/>
              </w:rPr>
            </w:pPr>
            <w:r w:rsidRPr="00B8164F">
              <w:rPr>
                <w:bCs/>
                <w:color w:val="000000" w:themeColor="text1"/>
                <w:sz w:val="18"/>
                <w:szCs w:val="18"/>
              </w:rPr>
              <w:t>RI</w:t>
            </w:r>
          </w:p>
          <w:p w14:paraId="57CA7B84" w14:textId="77777777" w:rsidR="007E61BD" w:rsidRDefault="007E61BD" w:rsidP="00475DBD">
            <w:pPr>
              <w:jc w:val="center"/>
              <w:rPr>
                <w:bCs/>
                <w:color w:val="000000" w:themeColor="text1"/>
                <w:sz w:val="18"/>
                <w:szCs w:val="18"/>
              </w:rPr>
            </w:pPr>
          </w:p>
          <w:p w14:paraId="74897A2D" w14:textId="5916B92B" w:rsidR="007E61BD" w:rsidRPr="00B8164F" w:rsidRDefault="007E61BD" w:rsidP="00475DBD">
            <w:pPr>
              <w:jc w:val="center"/>
              <w:rPr>
                <w:bCs/>
                <w:color w:val="000000" w:themeColor="text1"/>
                <w:sz w:val="18"/>
                <w:szCs w:val="18"/>
              </w:rPr>
            </w:pPr>
            <w:r w:rsidRPr="00B8164F">
              <w:rPr>
                <w:bCs/>
                <w:color w:val="000000" w:themeColor="text1"/>
                <w:sz w:val="18"/>
                <w:szCs w:val="18"/>
              </w:rPr>
              <w:t>Réévaluation mars 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5920F832" w14:textId="5FC1DC26" w:rsidR="007E61BD" w:rsidRPr="00434D11" w:rsidRDefault="007E61BD" w:rsidP="006017DD">
            <w:pPr>
              <w:ind w:left="44" w:right="142"/>
              <w:rPr>
                <w:rFonts w:cs="Arial"/>
                <w:bCs/>
                <w:color w:val="000000" w:themeColor="text1"/>
                <w:sz w:val="18"/>
                <w:szCs w:val="18"/>
              </w:rPr>
            </w:pPr>
            <w:r w:rsidRPr="00434D11">
              <w:rPr>
                <w:color w:val="000000" w:themeColor="text1"/>
                <w:sz w:val="18"/>
                <w:szCs w:val="18"/>
              </w:rPr>
              <w:t>Important dans la prise en charge des douleurs d’orig</w:t>
            </w:r>
            <w:r w:rsidR="006017DD">
              <w:rPr>
                <w:color w:val="000000" w:themeColor="text1"/>
                <w:sz w:val="18"/>
                <w:szCs w:val="18"/>
              </w:rPr>
              <w:t xml:space="preserve">ine cancéreuse ou neuropathique </w:t>
            </w:r>
            <w:r w:rsidRPr="00434D11">
              <w:rPr>
                <w:color w:val="000000" w:themeColor="text1"/>
                <w:sz w:val="18"/>
                <w:szCs w:val="18"/>
              </w:rPr>
              <w:t>persistantes, intenses ou rebelles aux autres analgésiques</w:t>
            </w:r>
          </w:p>
        </w:tc>
      </w:tr>
      <w:tr w:rsidR="00951C17" w14:paraId="2C663A96" w14:textId="77777777" w:rsidTr="00FE1CFB">
        <w:trPr>
          <w:trHeight w:hRule="exact" w:val="1619"/>
        </w:trPr>
        <w:tc>
          <w:tcPr>
            <w:tcW w:w="3402" w:type="dxa"/>
            <w:vMerge w:val="restart"/>
            <w:tcBorders>
              <w:top w:val="single" w:sz="4" w:space="0" w:color="A6A6A6"/>
              <w:left w:val="single" w:sz="4" w:space="0" w:color="A6A6A6"/>
              <w:right w:val="single" w:sz="4" w:space="0" w:color="A6A6A6"/>
            </w:tcBorders>
            <w:vAlign w:val="center"/>
          </w:tcPr>
          <w:p w14:paraId="768A4605" w14:textId="4C74140A" w:rsidR="00951C17" w:rsidRDefault="00951C17" w:rsidP="00B54237">
            <w:pPr>
              <w:autoSpaceDE w:val="0"/>
              <w:autoSpaceDN w:val="0"/>
              <w:adjustRightInd w:val="0"/>
              <w:spacing w:before="60"/>
              <w:ind w:left="187" w:right="96"/>
              <w:jc w:val="left"/>
              <w:rPr>
                <w:rFonts w:cs="Arial"/>
                <w:sz w:val="18"/>
                <w:szCs w:val="18"/>
              </w:rPr>
            </w:pPr>
            <w:r w:rsidRPr="00B54237">
              <w:rPr>
                <w:rFonts w:cs="Arial"/>
                <w:b/>
                <w:bCs/>
                <w:color w:val="000000" w:themeColor="text1"/>
                <w:sz w:val="18"/>
                <w:szCs w:val="18"/>
              </w:rPr>
              <w:t xml:space="preserve">Groupe générique du FENTANYL </w:t>
            </w:r>
            <w:r w:rsidRPr="00B54237">
              <w:rPr>
                <w:rFonts w:cs="Arial"/>
                <w:b/>
                <w:bCs/>
                <w:sz w:val="18"/>
                <w:szCs w:val="18"/>
              </w:rPr>
              <w:t>solution Injectable</w:t>
            </w:r>
            <w:r w:rsidR="00B54237">
              <w:rPr>
                <w:rFonts w:cs="Arial"/>
                <w:sz w:val="18"/>
                <w:szCs w:val="18"/>
              </w:rPr>
              <w:t xml:space="preserve"> </w:t>
            </w:r>
            <w:r w:rsidR="00B54237">
              <w:rPr>
                <w:rFonts w:cs="Arial"/>
                <w:b/>
                <w:bCs/>
                <w:color w:val="000000" w:themeColor="text1"/>
                <w:sz w:val="18"/>
                <w:szCs w:val="18"/>
              </w:rPr>
              <w:t>(</w:t>
            </w:r>
            <w:r w:rsidR="00B54237">
              <w:rPr>
                <w:rFonts w:cs="Arial"/>
                <w:sz w:val="18"/>
                <w:szCs w:val="18"/>
              </w:rPr>
              <w:t>IV et péridurale)</w:t>
            </w:r>
          </w:p>
          <w:p w14:paraId="31AD30B8" w14:textId="77777777" w:rsidR="00951C17" w:rsidRDefault="00951C17" w:rsidP="0095765D">
            <w:pPr>
              <w:autoSpaceDE w:val="0"/>
              <w:autoSpaceDN w:val="0"/>
              <w:adjustRightInd w:val="0"/>
              <w:ind w:left="185" w:right="99"/>
              <w:jc w:val="left"/>
              <w:rPr>
                <w:rFonts w:cs="Arial"/>
                <w:sz w:val="18"/>
                <w:szCs w:val="18"/>
              </w:rPr>
            </w:pPr>
            <w:r>
              <w:rPr>
                <w:rFonts w:cs="Arial"/>
                <w:sz w:val="18"/>
                <w:szCs w:val="18"/>
              </w:rPr>
              <w:t>(fentanyl)</w:t>
            </w:r>
          </w:p>
          <w:p w14:paraId="5C32C2E8" w14:textId="68F2D6B4" w:rsidR="00951C17" w:rsidRPr="00AC4E5D" w:rsidRDefault="00951C17" w:rsidP="0095765D">
            <w:pPr>
              <w:autoSpaceDE w:val="0"/>
              <w:autoSpaceDN w:val="0"/>
              <w:adjustRightInd w:val="0"/>
              <w:ind w:left="185" w:right="99"/>
              <w:jc w:val="left"/>
              <w:rPr>
                <w:rFonts w:cs="Arial"/>
                <w:i/>
                <w:iCs/>
                <w:sz w:val="18"/>
                <w:szCs w:val="18"/>
              </w:rPr>
            </w:pPr>
            <w:r w:rsidRPr="00AC4E5D">
              <w:rPr>
                <w:rFonts w:cs="Arial"/>
                <w:i/>
                <w:iCs/>
                <w:sz w:val="18"/>
                <w:szCs w:val="18"/>
              </w:rPr>
              <w:t>Renaudin, Mylan</w:t>
            </w:r>
            <w:r w:rsidR="00216E7B" w:rsidRPr="00AC4E5D">
              <w:rPr>
                <w:rFonts w:cs="Arial"/>
                <w:i/>
                <w:iCs/>
                <w:sz w:val="18"/>
                <w:szCs w:val="18"/>
              </w:rPr>
              <w:t>, Teva, Zentiva, Sandoz, Panpharma, Dakota Pharma</w:t>
            </w:r>
            <w:r w:rsidR="00B54237" w:rsidRPr="00AC4E5D">
              <w:rPr>
                <w:rFonts w:cs="Arial"/>
                <w:i/>
                <w:iCs/>
                <w:sz w:val="18"/>
                <w:szCs w:val="18"/>
              </w:rPr>
              <w:t>, Janssen</w:t>
            </w:r>
          </w:p>
          <w:p w14:paraId="226C23BC" w14:textId="77777777" w:rsidR="00951C17" w:rsidRPr="00216E7B" w:rsidRDefault="00951C17" w:rsidP="0095765D">
            <w:pPr>
              <w:autoSpaceDE w:val="0"/>
              <w:autoSpaceDN w:val="0"/>
              <w:adjustRightInd w:val="0"/>
              <w:spacing w:before="80"/>
              <w:ind w:left="187" w:right="96"/>
              <w:jc w:val="left"/>
              <w:rPr>
                <w:rFonts w:cs="Arial"/>
                <w:b/>
                <w:bCs/>
                <w:sz w:val="18"/>
                <w:szCs w:val="18"/>
                <w:lang w:val="en-GB"/>
              </w:rPr>
            </w:pPr>
            <w:r w:rsidRPr="00216E7B">
              <w:rPr>
                <w:rFonts w:cs="Arial"/>
                <w:b/>
                <w:bCs/>
                <w:sz w:val="18"/>
                <w:szCs w:val="18"/>
                <w:lang w:val="en-GB"/>
              </w:rPr>
              <w:t>Adulte</w:t>
            </w:r>
          </w:p>
        </w:tc>
        <w:tc>
          <w:tcPr>
            <w:tcW w:w="4819" w:type="dxa"/>
            <w:vMerge w:val="restart"/>
            <w:tcBorders>
              <w:top w:val="single" w:sz="4" w:space="0" w:color="A6A6A6"/>
              <w:left w:val="single" w:sz="4" w:space="0" w:color="A6A6A6"/>
              <w:right w:val="single" w:sz="4" w:space="0" w:color="A6A6A6"/>
            </w:tcBorders>
            <w:vAlign w:val="center"/>
          </w:tcPr>
          <w:p w14:paraId="29A3BAE4" w14:textId="77777777" w:rsidR="00951C17" w:rsidRPr="00EB68F2" w:rsidRDefault="00951C17" w:rsidP="00CC2175">
            <w:pPr>
              <w:autoSpaceDE w:val="0"/>
              <w:autoSpaceDN w:val="0"/>
              <w:adjustRightInd w:val="0"/>
              <w:ind w:left="43" w:right="142"/>
              <w:rPr>
                <w:rFonts w:cs="Arial"/>
                <w:sz w:val="18"/>
                <w:szCs w:val="18"/>
              </w:rPr>
            </w:pPr>
            <w:r w:rsidRPr="00EB68F2">
              <w:rPr>
                <w:rFonts w:cs="Arial"/>
                <w:sz w:val="18"/>
                <w:szCs w:val="18"/>
              </w:rPr>
              <w:t>Le fentanyl est un analgésique central réservé à l'anesthésie de courte, moyenne ou longue durée.</w:t>
            </w:r>
          </w:p>
          <w:p w14:paraId="09457D45" w14:textId="77777777" w:rsidR="00951C17" w:rsidRPr="00EB68F2" w:rsidRDefault="00951C17" w:rsidP="00CC2175">
            <w:pPr>
              <w:autoSpaceDE w:val="0"/>
              <w:autoSpaceDN w:val="0"/>
              <w:adjustRightInd w:val="0"/>
              <w:ind w:left="43" w:right="142"/>
              <w:rPr>
                <w:rFonts w:cs="Arial"/>
                <w:sz w:val="18"/>
                <w:szCs w:val="18"/>
              </w:rPr>
            </w:pPr>
            <w:r w:rsidRPr="00EB68F2">
              <w:rPr>
                <w:rFonts w:cs="Arial"/>
                <w:sz w:val="18"/>
                <w:szCs w:val="18"/>
              </w:rPr>
              <w:t>Il est utilisé dans les protocoles de neuroleptanalgésie, d'anesthésie générale balancée et d'anesthésie analgésique à doses élevées.</w:t>
            </w:r>
          </w:p>
          <w:p w14:paraId="49E37BA2" w14:textId="77777777" w:rsidR="00951C17" w:rsidRPr="00EB68F2" w:rsidRDefault="00951C17" w:rsidP="00CC2175">
            <w:pPr>
              <w:autoSpaceDE w:val="0"/>
              <w:autoSpaceDN w:val="0"/>
              <w:adjustRightInd w:val="0"/>
              <w:ind w:left="43" w:right="142"/>
              <w:rPr>
                <w:rFonts w:cs="Arial"/>
                <w:sz w:val="18"/>
                <w:szCs w:val="18"/>
              </w:rPr>
            </w:pPr>
          </w:p>
          <w:p w14:paraId="370ADF34" w14:textId="77777777" w:rsidR="00951C17" w:rsidRPr="004A3891" w:rsidRDefault="00951C17" w:rsidP="00CC2175">
            <w:pPr>
              <w:autoSpaceDE w:val="0"/>
              <w:autoSpaceDN w:val="0"/>
              <w:adjustRightInd w:val="0"/>
              <w:ind w:left="43" w:right="142"/>
              <w:rPr>
                <w:b/>
                <w:bCs/>
                <w:color w:val="00B050"/>
                <w:sz w:val="18"/>
                <w:szCs w:val="18"/>
              </w:rPr>
            </w:pPr>
            <w:r w:rsidRPr="00EB68F2">
              <w:rPr>
                <w:rFonts w:cs="Arial"/>
                <w:sz w:val="18"/>
                <w:szCs w:val="18"/>
              </w:rPr>
              <w:t>Le fentanyl peut également être utilisé : en analgésie post-opératoire exclusivement chez les patients soumis à une surveillance médicale intensive (unité de soins intensifs, salle de réveil) ; par voie péridurale, soit de façon isolée, soit en association aux anesthésiques locaux.</w:t>
            </w:r>
          </w:p>
        </w:tc>
        <w:tc>
          <w:tcPr>
            <w:tcW w:w="2170" w:type="dxa"/>
            <w:tcBorders>
              <w:top w:val="single" w:sz="4" w:space="0" w:color="A6A6A6"/>
              <w:left w:val="single" w:sz="4" w:space="0" w:color="A6A6A6"/>
              <w:bottom w:val="single" w:sz="4" w:space="0" w:color="A6A6A6"/>
              <w:right w:val="single" w:sz="4" w:space="0" w:color="A6A6A6"/>
            </w:tcBorders>
            <w:vAlign w:val="center"/>
          </w:tcPr>
          <w:p w14:paraId="1DA5EB37" w14:textId="75BA5E85" w:rsidR="00951C17" w:rsidRPr="00B8164F" w:rsidRDefault="00951C17" w:rsidP="00B8164F">
            <w:pPr>
              <w:jc w:val="center"/>
              <w:rPr>
                <w:bCs/>
                <w:color w:val="000000" w:themeColor="text1"/>
                <w:sz w:val="18"/>
                <w:szCs w:val="18"/>
              </w:rPr>
            </w:pPr>
            <w:r w:rsidRPr="00B8164F">
              <w:rPr>
                <w:bCs/>
                <w:color w:val="000000" w:themeColor="text1"/>
                <w:sz w:val="18"/>
                <w:szCs w:val="18"/>
              </w:rPr>
              <w:t>30/08/2000</w:t>
            </w:r>
          </w:p>
        </w:tc>
        <w:tc>
          <w:tcPr>
            <w:tcW w:w="4111" w:type="dxa"/>
            <w:tcBorders>
              <w:top w:val="single" w:sz="4" w:space="0" w:color="A6A6A6"/>
              <w:left w:val="single" w:sz="4" w:space="0" w:color="A6A6A6"/>
              <w:bottom w:val="single" w:sz="4" w:space="0" w:color="A6A6A6"/>
              <w:right w:val="single" w:sz="4" w:space="0" w:color="A6A6A6"/>
            </w:tcBorders>
            <w:vAlign w:val="center"/>
          </w:tcPr>
          <w:p w14:paraId="013D6C09" w14:textId="77777777" w:rsidR="00951C17" w:rsidRPr="00525B67" w:rsidRDefault="00951C17" w:rsidP="006F7B2A">
            <w:pPr>
              <w:jc w:val="center"/>
              <w:rPr>
                <w:rFonts w:cs="Arial"/>
                <w:bCs/>
                <w:color w:val="FFFFFF"/>
                <w:sz w:val="18"/>
                <w:szCs w:val="18"/>
              </w:rPr>
            </w:pPr>
            <w:r w:rsidRPr="00525B67">
              <w:rPr>
                <w:rFonts w:cs="Arial"/>
                <w:bCs/>
                <w:sz w:val="18"/>
                <w:szCs w:val="18"/>
              </w:rPr>
              <w:t>Important</w:t>
            </w:r>
          </w:p>
        </w:tc>
      </w:tr>
      <w:tr w:rsidR="00951C17" w14:paraId="05DC8AC5" w14:textId="77777777" w:rsidTr="006017DD">
        <w:trPr>
          <w:trHeight w:hRule="exact" w:val="939"/>
        </w:trPr>
        <w:tc>
          <w:tcPr>
            <w:tcW w:w="3402" w:type="dxa"/>
            <w:vMerge/>
            <w:tcBorders>
              <w:left w:val="single" w:sz="4" w:space="0" w:color="A6A6A6"/>
              <w:bottom w:val="single" w:sz="4" w:space="0" w:color="A6A6A6"/>
              <w:right w:val="single" w:sz="4" w:space="0" w:color="A6A6A6"/>
            </w:tcBorders>
            <w:vAlign w:val="center"/>
          </w:tcPr>
          <w:p w14:paraId="759F70BE" w14:textId="29F3F618" w:rsidR="00951C17" w:rsidRPr="00BE55E0" w:rsidRDefault="00951C17" w:rsidP="0095765D">
            <w:pPr>
              <w:pStyle w:val="TableParagraph"/>
              <w:kinsoku w:val="0"/>
              <w:overflowPunct w:val="0"/>
              <w:spacing w:before="80"/>
              <w:ind w:left="187" w:right="96"/>
              <w:rPr>
                <w:rFonts w:ascii="Arial" w:hAnsi="Arial" w:cs="Arial"/>
                <w:b/>
                <w:bCs/>
                <w:sz w:val="26"/>
                <w:szCs w:val="26"/>
                <w:lang w:val="en-GB"/>
              </w:rPr>
            </w:pPr>
          </w:p>
        </w:tc>
        <w:tc>
          <w:tcPr>
            <w:tcW w:w="4819" w:type="dxa"/>
            <w:vMerge/>
            <w:tcBorders>
              <w:left w:val="single" w:sz="4" w:space="0" w:color="A6A6A6"/>
              <w:bottom w:val="single" w:sz="4" w:space="0" w:color="A6A6A6"/>
              <w:right w:val="single" w:sz="4" w:space="0" w:color="A6A6A6"/>
            </w:tcBorders>
            <w:vAlign w:val="center"/>
          </w:tcPr>
          <w:p w14:paraId="00B51E11" w14:textId="77777777" w:rsidR="00951C17" w:rsidRPr="004A3891" w:rsidRDefault="00951C17" w:rsidP="006F7B2A">
            <w:pPr>
              <w:pStyle w:val="TableParagraph"/>
              <w:kinsoku w:val="0"/>
              <w:overflowPunct w:val="0"/>
              <w:ind w:left="104" w:right="154"/>
              <w:jc w:val="both"/>
              <w:rPr>
                <w:rFonts w:ascii="Arial" w:hAnsi="Arial" w:cs="Arial"/>
                <w:b/>
                <w:color w:val="00B050"/>
                <w:spacing w:val="-1"/>
                <w:sz w:val="18"/>
                <w:szCs w:val="18"/>
                <w:lang w:val="en-GB"/>
              </w:rPr>
            </w:pPr>
          </w:p>
        </w:tc>
        <w:tc>
          <w:tcPr>
            <w:tcW w:w="2170" w:type="dxa"/>
            <w:tcBorders>
              <w:top w:val="single" w:sz="4" w:space="0" w:color="A6A6A6"/>
              <w:left w:val="single" w:sz="4" w:space="0" w:color="A6A6A6"/>
              <w:bottom w:val="single" w:sz="4" w:space="0" w:color="A6A6A6"/>
              <w:right w:val="single" w:sz="4" w:space="0" w:color="A6A6A6"/>
            </w:tcBorders>
            <w:vAlign w:val="center"/>
          </w:tcPr>
          <w:p w14:paraId="3F4F1B29" w14:textId="77777777" w:rsidR="00951C17" w:rsidRPr="00B8164F" w:rsidRDefault="00951C17" w:rsidP="006F7B2A">
            <w:pPr>
              <w:pStyle w:val="TableParagraph"/>
              <w:kinsoku w:val="0"/>
              <w:overflowPunct w:val="0"/>
              <w:jc w:val="center"/>
              <w:rPr>
                <w:rFonts w:ascii="Arial" w:hAnsi="Arial" w:cs="Arial"/>
                <w:bCs/>
                <w:color w:val="000000" w:themeColor="text1"/>
                <w:sz w:val="18"/>
                <w:szCs w:val="18"/>
              </w:rPr>
            </w:pPr>
            <w:r w:rsidRPr="00B8164F">
              <w:rPr>
                <w:rFonts w:ascii="Arial" w:hAnsi="Arial" w:cs="Arial"/>
                <w:bCs/>
                <w:color w:val="000000" w:themeColor="text1"/>
                <w:sz w:val="18"/>
                <w:szCs w:val="18"/>
              </w:rPr>
              <w:t>05/09/2001</w:t>
            </w:r>
          </w:p>
        </w:tc>
        <w:tc>
          <w:tcPr>
            <w:tcW w:w="4111" w:type="dxa"/>
            <w:tcBorders>
              <w:top w:val="single" w:sz="4" w:space="0" w:color="A6A6A6"/>
              <w:left w:val="single" w:sz="4" w:space="0" w:color="A6A6A6"/>
              <w:bottom w:val="single" w:sz="4" w:space="0" w:color="A6A6A6"/>
              <w:right w:val="single" w:sz="4" w:space="0" w:color="A6A6A6"/>
            </w:tcBorders>
            <w:vAlign w:val="center"/>
          </w:tcPr>
          <w:p w14:paraId="58D1DB72" w14:textId="77777777" w:rsidR="00951C17" w:rsidRPr="00525B67" w:rsidRDefault="00951C17" w:rsidP="006F7B2A">
            <w:pPr>
              <w:pStyle w:val="TableParagraph"/>
              <w:kinsoku w:val="0"/>
              <w:overflowPunct w:val="0"/>
              <w:ind w:left="551" w:right="249" w:hanging="300"/>
              <w:jc w:val="center"/>
              <w:rPr>
                <w:rFonts w:ascii="Arial" w:hAnsi="Arial" w:cs="Arial"/>
                <w:bCs/>
              </w:rPr>
            </w:pPr>
            <w:r w:rsidRPr="00525B67">
              <w:rPr>
                <w:rFonts w:ascii="Arial" w:hAnsi="Arial" w:cs="Arial"/>
                <w:bCs/>
                <w:sz w:val="18"/>
                <w:szCs w:val="18"/>
              </w:rPr>
              <w:t>Important</w:t>
            </w:r>
          </w:p>
        </w:tc>
      </w:tr>
      <w:tr w:rsidR="00AD65BC" w:rsidRPr="00EA50C2" w14:paraId="0B6CD969"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3882C282" w14:textId="5A08B1EE" w:rsidR="00AD65BC" w:rsidRPr="00EA50C2" w:rsidRDefault="00EA50C2" w:rsidP="00EA50C2">
            <w:pPr>
              <w:autoSpaceDE w:val="0"/>
              <w:autoSpaceDN w:val="0"/>
              <w:adjustRightInd w:val="0"/>
              <w:ind w:left="185" w:right="99"/>
              <w:jc w:val="center"/>
              <w:rPr>
                <w:b/>
                <w:sz w:val="20"/>
                <w:szCs w:val="22"/>
              </w:rPr>
            </w:pPr>
            <w:r w:rsidRPr="00EA50C2">
              <w:rPr>
                <w:b/>
                <w:sz w:val="20"/>
                <w:szCs w:val="22"/>
              </w:rPr>
              <w:t>Péthidine</w:t>
            </w:r>
          </w:p>
        </w:tc>
      </w:tr>
      <w:tr w:rsidR="006F7B2A" w14:paraId="48373B74" w14:textId="77777777" w:rsidTr="006017DD">
        <w:trPr>
          <w:trHeight w:hRule="exact" w:val="1567"/>
        </w:trPr>
        <w:tc>
          <w:tcPr>
            <w:tcW w:w="3402" w:type="dxa"/>
            <w:tcBorders>
              <w:top w:val="single" w:sz="4" w:space="0" w:color="A6A6A6"/>
              <w:left w:val="single" w:sz="4" w:space="0" w:color="A6A6A6"/>
              <w:bottom w:val="single" w:sz="4" w:space="0" w:color="A6A6A6"/>
              <w:right w:val="single" w:sz="4" w:space="0" w:color="A6A6A6"/>
            </w:tcBorders>
            <w:vAlign w:val="center"/>
          </w:tcPr>
          <w:p w14:paraId="3EB704CC" w14:textId="77777777" w:rsidR="00B54237" w:rsidRDefault="006F7B2A" w:rsidP="0095765D">
            <w:pPr>
              <w:spacing w:before="60"/>
              <w:ind w:left="187" w:right="96"/>
              <w:jc w:val="left"/>
              <w:rPr>
                <w:b/>
                <w:bCs/>
                <w:sz w:val="18"/>
                <w:szCs w:val="18"/>
              </w:rPr>
            </w:pPr>
            <w:r w:rsidRPr="008451EF">
              <w:rPr>
                <w:b/>
                <w:bCs/>
                <w:sz w:val="18"/>
                <w:szCs w:val="18"/>
              </w:rPr>
              <w:t xml:space="preserve">PETHIDINE RENAUDIN </w:t>
            </w:r>
          </w:p>
          <w:p w14:paraId="701F64F1" w14:textId="7B4354D8" w:rsidR="006F7B2A" w:rsidRPr="00B54237" w:rsidRDefault="006F7B2A" w:rsidP="00B54237">
            <w:pPr>
              <w:ind w:left="187" w:right="96"/>
              <w:jc w:val="left"/>
              <w:rPr>
                <w:b/>
                <w:bCs/>
                <w:sz w:val="18"/>
                <w:szCs w:val="18"/>
              </w:rPr>
            </w:pPr>
            <w:r w:rsidRPr="00B54237">
              <w:rPr>
                <w:b/>
                <w:bCs/>
                <w:sz w:val="18"/>
                <w:szCs w:val="18"/>
              </w:rPr>
              <w:t>sol</w:t>
            </w:r>
            <w:r w:rsidR="00B54237" w:rsidRPr="00B54237">
              <w:rPr>
                <w:b/>
                <w:bCs/>
                <w:sz w:val="18"/>
                <w:szCs w:val="18"/>
              </w:rPr>
              <w:t>ution</w:t>
            </w:r>
            <w:r w:rsidRPr="00B54237">
              <w:rPr>
                <w:b/>
                <w:bCs/>
                <w:sz w:val="18"/>
                <w:szCs w:val="18"/>
              </w:rPr>
              <w:t xml:space="preserve"> </w:t>
            </w:r>
            <w:r w:rsidR="00B54237" w:rsidRPr="00B54237">
              <w:rPr>
                <w:b/>
                <w:bCs/>
                <w:sz w:val="18"/>
                <w:szCs w:val="18"/>
              </w:rPr>
              <w:t>i</w:t>
            </w:r>
            <w:r w:rsidRPr="00B54237">
              <w:rPr>
                <w:b/>
                <w:bCs/>
                <w:sz w:val="18"/>
                <w:szCs w:val="18"/>
              </w:rPr>
              <w:t>nj</w:t>
            </w:r>
            <w:r w:rsidR="00B54237" w:rsidRPr="00B54237">
              <w:rPr>
                <w:b/>
                <w:bCs/>
                <w:sz w:val="18"/>
                <w:szCs w:val="18"/>
              </w:rPr>
              <w:t>ectable</w:t>
            </w:r>
          </w:p>
          <w:p w14:paraId="09F8FFE5" w14:textId="5C7E562F" w:rsidR="00B54237" w:rsidRDefault="006F7B2A" w:rsidP="00B54237">
            <w:pPr>
              <w:ind w:left="185" w:right="99"/>
              <w:jc w:val="left"/>
              <w:rPr>
                <w:bCs/>
                <w:sz w:val="18"/>
                <w:szCs w:val="18"/>
              </w:rPr>
            </w:pPr>
            <w:r w:rsidRPr="00B02517">
              <w:rPr>
                <w:bCs/>
                <w:sz w:val="18"/>
                <w:szCs w:val="18"/>
              </w:rPr>
              <w:t>(péthidine)</w:t>
            </w:r>
          </w:p>
          <w:p w14:paraId="78A8865C" w14:textId="77777777" w:rsidR="00B54237" w:rsidRDefault="00B54237" w:rsidP="00B54237">
            <w:pPr>
              <w:ind w:left="185" w:right="99"/>
              <w:jc w:val="left"/>
              <w:rPr>
                <w:rFonts w:cs="Arial"/>
                <w:i/>
                <w:sz w:val="18"/>
                <w:szCs w:val="18"/>
              </w:rPr>
            </w:pPr>
            <w:r w:rsidRPr="00CC6F58">
              <w:rPr>
                <w:rFonts w:cs="Arial"/>
                <w:i/>
                <w:sz w:val="18"/>
                <w:szCs w:val="18"/>
              </w:rPr>
              <w:t>Renaudin</w:t>
            </w:r>
          </w:p>
          <w:p w14:paraId="182356D4" w14:textId="77777777" w:rsidR="006F7B2A" w:rsidRPr="00380445" w:rsidRDefault="006F7B2A" w:rsidP="0095765D">
            <w:pPr>
              <w:spacing w:before="80"/>
              <w:ind w:left="187" w:right="96"/>
              <w:jc w:val="left"/>
              <w:rPr>
                <w:b/>
                <w:bCs/>
                <w:sz w:val="18"/>
                <w:szCs w:val="18"/>
              </w:rPr>
            </w:pPr>
            <w:r w:rsidRPr="00380445">
              <w:rPr>
                <w:b/>
                <w:bCs/>
                <w:sz w:val="18"/>
                <w:szCs w:val="18"/>
              </w:rPr>
              <w:t>Adulte et enfant</w:t>
            </w:r>
          </w:p>
        </w:tc>
        <w:tc>
          <w:tcPr>
            <w:tcW w:w="4819" w:type="dxa"/>
            <w:tcBorders>
              <w:top w:val="single" w:sz="4" w:space="0" w:color="A6A6A6"/>
              <w:left w:val="single" w:sz="4" w:space="0" w:color="A6A6A6"/>
              <w:bottom w:val="single" w:sz="4" w:space="0" w:color="A6A6A6"/>
              <w:right w:val="single" w:sz="4" w:space="0" w:color="A6A6A6"/>
            </w:tcBorders>
            <w:vAlign w:val="center"/>
          </w:tcPr>
          <w:p w14:paraId="1EC6B1D9" w14:textId="2A6B4351" w:rsidR="006F7B2A" w:rsidRPr="00B02517" w:rsidRDefault="006F7B2A" w:rsidP="00CC2175">
            <w:pPr>
              <w:autoSpaceDE w:val="0"/>
              <w:autoSpaceDN w:val="0"/>
              <w:adjustRightInd w:val="0"/>
              <w:ind w:left="43" w:right="98"/>
              <w:rPr>
                <w:sz w:val="18"/>
                <w:szCs w:val="18"/>
              </w:rPr>
            </w:pPr>
            <w:r w:rsidRPr="00B02517">
              <w:rPr>
                <w:sz w:val="18"/>
                <w:szCs w:val="18"/>
              </w:rPr>
              <w:t>Douleurs intenses et/ou rebelles aux antalgiques de niveau plus faible</w:t>
            </w:r>
          </w:p>
        </w:tc>
        <w:tc>
          <w:tcPr>
            <w:tcW w:w="2170" w:type="dxa"/>
            <w:tcBorders>
              <w:top w:val="single" w:sz="4" w:space="0" w:color="A6A6A6"/>
              <w:left w:val="single" w:sz="4" w:space="0" w:color="A6A6A6"/>
              <w:bottom w:val="single" w:sz="4" w:space="0" w:color="A6A6A6"/>
              <w:right w:val="single" w:sz="4" w:space="0" w:color="A6A6A6"/>
            </w:tcBorders>
            <w:vAlign w:val="center"/>
          </w:tcPr>
          <w:p w14:paraId="47A19977" w14:textId="77777777" w:rsidR="006F7B2A" w:rsidRDefault="006F7B2A" w:rsidP="006F7B2A">
            <w:pPr>
              <w:jc w:val="center"/>
              <w:rPr>
                <w:rFonts w:cs="Arial"/>
                <w:sz w:val="18"/>
                <w:szCs w:val="18"/>
              </w:rPr>
            </w:pPr>
            <w:r w:rsidRPr="00B02517">
              <w:rPr>
                <w:rFonts w:cs="Arial"/>
                <w:sz w:val="18"/>
                <w:szCs w:val="18"/>
              </w:rPr>
              <w:t>18 janvier 2012</w:t>
            </w:r>
          </w:p>
          <w:p w14:paraId="591A9252" w14:textId="77777777" w:rsidR="00434268" w:rsidRDefault="00E03652" w:rsidP="006F7B2A">
            <w:pPr>
              <w:jc w:val="center"/>
              <w:rPr>
                <w:rFonts w:cs="Arial"/>
                <w:sz w:val="18"/>
                <w:szCs w:val="18"/>
              </w:rPr>
            </w:pPr>
            <w:r>
              <w:rPr>
                <w:rFonts w:cs="Arial"/>
                <w:sz w:val="18"/>
                <w:szCs w:val="18"/>
              </w:rPr>
              <w:t>(rééval</w:t>
            </w:r>
            <w:r w:rsidR="00434268">
              <w:rPr>
                <w:rFonts w:cs="Arial"/>
                <w:sz w:val="18"/>
                <w:szCs w:val="18"/>
              </w:rPr>
              <w:t>uation</w:t>
            </w:r>
          </w:p>
          <w:p w14:paraId="1D893696" w14:textId="4FF3DAB8" w:rsidR="00E03652" w:rsidRPr="00B02517" w:rsidRDefault="00E03652" w:rsidP="006F7B2A">
            <w:pPr>
              <w:jc w:val="center"/>
              <w:rPr>
                <w:rFonts w:cs="Arial"/>
                <w:sz w:val="18"/>
                <w:szCs w:val="18"/>
              </w:rPr>
            </w:pPr>
            <w:r>
              <w:rPr>
                <w:rFonts w:cs="Arial"/>
                <w:sz w:val="18"/>
                <w:szCs w:val="18"/>
              </w:rPr>
              <w:t xml:space="preserve"> saisine DSS juin 2011)</w:t>
            </w:r>
          </w:p>
          <w:p w14:paraId="33FFCF7E" w14:textId="519AFDC9" w:rsidR="006F7B2A" w:rsidRPr="00B02517" w:rsidRDefault="006F7B2A" w:rsidP="008B1CC0">
            <w:pPr>
              <w:spacing w:before="120"/>
              <w:jc w:val="center"/>
              <w:rPr>
                <w:rFonts w:cs="Arial"/>
                <w:sz w:val="18"/>
                <w:szCs w:val="18"/>
              </w:rPr>
            </w:pPr>
            <w:r w:rsidRPr="00B02517">
              <w:rPr>
                <w:rFonts w:cs="Arial"/>
                <w:sz w:val="18"/>
                <w:szCs w:val="18"/>
              </w:rPr>
              <w:t xml:space="preserve">Réévaluation </w:t>
            </w:r>
            <w:r w:rsidR="008B1CC0">
              <w:rPr>
                <w:rFonts w:cs="Arial"/>
                <w:sz w:val="18"/>
                <w:szCs w:val="18"/>
              </w:rPr>
              <w:t xml:space="preserve">mars </w:t>
            </w:r>
            <w:r w:rsidR="00434268">
              <w:rPr>
                <w:rFonts w:cs="Arial"/>
                <w:sz w:val="18"/>
                <w:szCs w:val="18"/>
              </w:rPr>
              <w:t>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77C7D4AF" w14:textId="1F126499" w:rsidR="006F7B2A" w:rsidRPr="00EA50C2" w:rsidRDefault="00E03652" w:rsidP="00EA50C2">
            <w:pPr>
              <w:jc w:val="center"/>
              <w:rPr>
                <w:sz w:val="18"/>
                <w:szCs w:val="18"/>
              </w:rPr>
            </w:pPr>
            <w:r w:rsidRPr="00475DBD">
              <w:rPr>
                <w:sz w:val="18"/>
                <w:szCs w:val="18"/>
              </w:rPr>
              <w:t xml:space="preserve">Reste </w:t>
            </w:r>
            <w:r w:rsidR="006F7B2A" w:rsidRPr="00475DBD">
              <w:rPr>
                <w:sz w:val="18"/>
                <w:szCs w:val="18"/>
              </w:rPr>
              <w:t>Faible</w:t>
            </w:r>
          </w:p>
        </w:tc>
      </w:tr>
    </w:tbl>
    <w:p w14:paraId="6A45BA70" w14:textId="77777777" w:rsidR="00EA50C2" w:rsidRDefault="00EA50C2">
      <w:r>
        <w:br w:type="page"/>
      </w:r>
    </w:p>
    <w:tbl>
      <w:tblPr>
        <w:tblW w:w="14502" w:type="dxa"/>
        <w:tblInd w:w="104" w:type="dxa"/>
        <w:tblLayout w:type="fixed"/>
        <w:tblCellMar>
          <w:left w:w="0" w:type="dxa"/>
          <w:right w:w="0" w:type="dxa"/>
        </w:tblCellMar>
        <w:tblLook w:val="0000" w:firstRow="0" w:lastRow="0" w:firstColumn="0" w:lastColumn="0" w:noHBand="0" w:noVBand="0"/>
      </w:tblPr>
      <w:tblGrid>
        <w:gridCol w:w="3402"/>
        <w:gridCol w:w="4819"/>
        <w:gridCol w:w="2170"/>
        <w:gridCol w:w="4111"/>
      </w:tblGrid>
      <w:tr w:rsidR="006F7B2A" w:rsidRPr="00EA50C2" w14:paraId="71C22682"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09F0B0FA" w14:textId="344C32CD" w:rsidR="006F7B2A" w:rsidRPr="00EA50C2" w:rsidRDefault="00EA50C2" w:rsidP="00EA50C2">
            <w:pPr>
              <w:autoSpaceDE w:val="0"/>
              <w:autoSpaceDN w:val="0"/>
              <w:adjustRightInd w:val="0"/>
              <w:ind w:left="185" w:right="99"/>
              <w:jc w:val="center"/>
              <w:rPr>
                <w:b/>
                <w:sz w:val="20"/>
                <w:szCs w:val="22"/>
              </w:rPr>
            </w:pPr>
            <w:r w:rsidRPr="00EA50C2">
              <w:rPr>
                <w:b/>
                <w:sz w:val="20"/>
                <w:szCs w:val="22"/>
              </w:rPr>
              <w:t>Buprénorphine</w:t>
            </w:r>
          </w:p>
        </w:tc>
      </w:tr>
      <w:tr w:rsidR="006F7B2A" w14:paraId="62A197D4" w14:textId="77777777" w:rsidTr="00B84ACA">
        <w:trPr>
          <w:trHeight w:hRule="exact" w:val="2627"/>
        </w:trPr>
        <w:tc>
          <w:tcPr>
            <w:tcW w:w="3402" w:type="dxa"/>
            <w:tcBorders>
              <w:top w:val="single" w:sz="4" w:space="0" w:color="A6A6A6"/>
              <w:left w:val="single" w:sz="4" w:space="0" w:color="A6A6A6"/>
              <w:bottom w:val="single" w:sz="4" w:space="0" w:color="A6A6A6"/>
              <w:right w:val="single" w:sz="4" w:space="0" w:color="A6A6A6"/>
            </w:tcBorders>
            <w:vAlign w:val="center"/>
          </w:tcPr>
          <w:p w14:paraId="404C3234" w14:textId="77777777" w:rsidR="006F7B2A" w:rsidRPr="00C504C4" w:rsidRDefault="006F7B2A" w:rsidP="0095765D">
            <w:pPr>
              <w:spacing w:before="60"/>
              <w:ind w:left="187" w:right="96"/>
              <w:jc w:val="left"/>
              <w:rPr>
                <w:b/>
                <w:bCs/>
                <w:sz w:val="18"/>
                <w:szCs w:val="18"/>
              </w:rPr>
            </w:pPr>
            <w:r w:rsidRPr="00C504C4">
              <w:rPr>
                <w:b/>
                <w:bCs/>
                <w:sz w:val="18"/>
                <w:szCs w:val="18"/>
              </w:rPr>
              <w:t>TEMGESIC, cp sublingual, sol. inj</w:t>
            </w:r>
          </w:p>
          <w:p w14:paraId="462EBACC" w14:textId="77777777" w:rsidR="006F7B2A" w:rsidRPr="00B02517" w:rsidRDefault="006F7B2A" w:rsidP="0095765D">
            <w:pPr>
              <w:ind w:left="185" w:right="99"/>
              <w:jc w:val="left"/>
              <w:rPr>
                <w:bCs/>
                <w:sz w:val="18"/>
                <w:szCs w:val="18"/>
              </w:rPr>
            </w:pPr>
            <w:r w:rsidRPr="00B02517">
              <w:rPr>
                <w:bCs/>
                <w:sz w:val="18"/>
                <w:szCs w:val="18"/>
              </w:rPr>
              <w:t>(buprénorphine)</w:t>
            </w:r>
          </w:p>
          <w:p w14:paraId="09C11002" w14:textId="1B4802CF" w:rsidR="006F7B2A" w:rsidRDefault="006F7B2A" w:rsidP="0095765D">
            <w:pPr>
              <w:ind w:left="185" w:right="99"/>
              <w:jc w:val="left"/>
              <w:rPr>
                <w:bCs/>
                <w:i/>
                <w:sz w:val="18"/>
                <w:szCs w:val="18"/>
              </w:rPr>
            </w:pPr>
            <w:r w:rsidRPr="00A36135">
              <w:rPr>
                <w:bCs/>
                <w:i/>
                <w:sz w:val="18"/>
                <w:szCs w:val="18"/>
              </w:rPr>
              <w:t>I</w:t>
            </w:r>
            <w:r w:rsidR="00B54237">
              <w:rPr>
                <w:bCs/>
                <w:i/>
                <w:sz w:val="18"/>
                <w:szCs w:val="18"/>
              </w:rPr>
              <w:t>ndivior</w:t>
            </w:r>
          </w:p>
          <w:p w14:paraId="4E8FE5C8" w14:textId="169D35C7" w:rsidR="006F7B2A" w:rsidRPr="00380445" w:rsidRDefault="00F019F6" w:rsidP="0095765D">
            <w:pPr>
              <w:spacing w:before="120"/>
              <w:ind w:left="187" w:right="96"/>
              <w:jc w:val="left"/>
              <w:rPr>
                <w:b/>
                <w:bCs/>
                <w:sz w:val="18"/>
                <w:szCs w:val="18"/>
              </w:rPr>
            </w:pPr>
            <w:r>
              <w:rPr>
                <w:b/>
                <w:bCs/>
                <w:sz w:val="18"/>
                <w:szCs w:val="18"/>
              </w:rPr>
              <w:t>Adulte et enfant</w:t>
            </w:r>
            <w:r w:rsidR="006F7B2A" w:rsidRPr="00380445">
              <w:rPr>
                <w:b/>
                <w:bCs/>
                <w:sz w:val="18"/>
                <w:szCs w:val="18"/>
              </w:rPr>
              <w:t xml:space="preserve"> à partir de 15 ans</w:t>
            </w:r>
          </w:p>
        </w:tc>
        <w:tc>
          <w:tcPr>
            <w:tcW w:w="4819" w:type="dxa"/>
            <w:tcBorders>
              <w:top w:val="single" w:sz="4" w:space="0" w:color="A6A6A6"/>
              <w:left w:val="single" w:sz="4" w:space="0" w:color="A6A6A6"/>
              <w:bottom w:val="single" w:sz="4" w:space="0" w:color="A6A6A6"/>
              <w:right w:val="single" w:sz="4" w:space="0" w:color="A6A6A6"/>
            </w:tcBorders>
            <w:vAlign w:val="center"/>
          </w:tcPr>
          <w:p w14:paraId="016F0752" w14:textId="3F1180D8" w:rsidR="0047128B" w:rsidRPr="00211278" w:rsidRDefault="006F7B2A" w:rsidP="00211278">
            <w:pPr>
              <w:autoSpaceDE w:val="0"/>
              <w:autoSpaceDN w:val="0"/>
              <w:adjustRightInd w:val="0"/>
              <w:ind w:left="43" w:right="98"/>
              <w:rPr>
                <w:sz w:val="18"/>
                <w:szCs w:val="18"/>
              </w:rPr>
            </w:pPr>
            <w:r w:rsidRPr="00B02517">
              <w:rPr>
                <w:sz w:val="18"/>
                <w:szCs w:val="18"/>
              </w:rPr>
              <w:t>Douleurs intenses, en particulier douleurs post-opératoires, douleurs néoplasiques</w:t>
            </w:r>
          </w:p>
        </w:tc>
        <w:tc>
          <w:tcPr>
            <w:tcW w:w="2170" w:type="dxa"/>
            <w:tcBorders>
              <w:top w:val="single" w:sz="4" w:space="0" w:color="A6A6A6"/>
              <w:left w:val="single" w:sz="4" w:space="0" w:color="A6A6A6"/>
              <w:bottom w:val="single" w:sz="4" w:space="0" w:color="A6A6A6"/>
              <w:right w:val="single" w:sz="4" w:space="0" w:color="A6A6A6"/>
            </w:tcBorders>
            <w:vAlign w:val="center"/>
          </w:tcPr>
          <w:p w14:paraId="1B788A37" w14:textId="77777777" w:rsidR="006F7B2A" w:rsidRPr="00B86AE8" w:rsidRDefault="006F7B2A" w:rsidP="006F7B2A">
            <w:pPr>
              <w:jc w:val="center"/>
              <w:rPr>
                <w:rFonts w:cs="Arial"/>
                <w:sz w:val="18"/>
                <w:szCs w:val="18"/>
              </w:rPr>
            </w:pPr>
            <w:r w:rsidRPr="00B86AE8">
              <w:rPr>
                <w:rFonts w:cs="Arial"/>
                <w:sz w:val="18"/>
                <w:szCs w:val="18"/>
              </w:rPr>
              <w:t>06/12/2017</w:t>
            </w:r>
          </w:p>
          <w:p w14:paraId="7A5B2703" w14:textId="77777777" w:rsidR="006F7B2A" w:rsidRPr="00B86AE8" w:rsidRDefault="006F7B2A" w:rsidP="006F7B2A">
            <w:pPr>
              <w:jc w:val="center"/>
              <w:rPr>
                <w:b/>
                <w:sz w:val="18"/>
                <w:szCs w:val="18"/>
              </w:rPr>
            </w:pPr>
            <w:r w:rsidRPr="00B86AE8">
              <w:rPr>
                <w:rFonts w:cs="Arial"/>
                <w:sz w:val="18"/>
                <w:szCs w:val="18"/>
              </w:rPr>
              <w:t>RI</w:t>
            </w:r>
          </w:p>
        </w:tc>
        <w:tc>
          <w:tcPr>
            <w:tcW w:w="4111" w:type="dxa"/>
            <w:tcBorders>
              <w:top w:val="single" w:sz="4" w:space="0" w:color="A6A6A6"/>
              <w:left w:val="single" w:sz="4" w:space="0" w:color="A6A6A6"/>
              <w:bottom w:val="single" w:sz="4" w:space="0" w:color="A6A6A6"/>
              <w:right w:val="single" w:sz="4" w:space="0" w:color="A6A6A6"/>
            </w:tcBorders>
            <w:vAlign w:val="center"/>
          </w:tcPr>
          <w:p w14:paraId="61826676" w14:textId="612FF9E6" w:rsidR="001552DA" w:rsidRPr="00831351" w:rsidRDefault="00052154" w:rsidP="006017DD">
            <w:pPr>
              <w:autoSpaceDE w:val="0"/>
              <w:autoSpaceDN w:val="0"/>
              <w:adjustRightInd w:val="0"/>
              <w:ind w:left="43" w:right="137"/>
              <w:rPr>
                <w:rFonts w:cs="Arial"/>
                <w:bCs/>
                <w:sz w:val="18"/>
                <w:szCs w:val="18"/>
              </w:rPr>
            </w:pPr>
            <w:r w:rsidRPr="00B86AE8">
              <w:rPr>
                <w:rFonts w:cs="Arial"/>
                <w:bCs/>
                <w:sz w:val="18"/>
                <w:szCs w:val="18"/>
              </w:rPr>
              <w:t>important dans l’indication de l’AMM, excepté dans les douleurs</w:t>
            </w:r>
            <w:r w:rsidR="004D4771">
              <w:rPr>
                <w:rFonts w:cs="Arial"/>
                <w:bCs/>
                <w:sz w:val="18"/>
                <w:szCs w:val="18"/>
              </w:rPr>
              <w:t xml:space="preserve"> </w:t>
            </w:r>
            <w:r w:rsidRPr="00B86AE8">
              <w:rPr>
                <w:rFonts w:cs="Arial"/>
                <w:bCs/>
                <w:sz w:val="18"/>
                <w:szCs w:val="18"/>
              </w:rPr>
              <w:t>chroniques non cancéreuses et non neuropathiques, notamment dans les rhumatismes</w:t>
            </w:r>
            <w:r w:rsidR="006017DD">
              <w:rPr>
                <w:rFonts w:cs="Arial"/>
                <w:bCs/>
                <w:sz w:val="18"/>
                <w:szCs w:val="18"/>
              </w:rPr>
              <w:t xml:space="preserve"> </w:t>
            </w:r>
            <w:r w:rsidRPr="00B86AE8">
              <w:rPr>
                <w:rFonts w:cs="Arial"/>
                <w:bCs/>
                <w:sz w:val="18"/>
                <w:szCs w:val="18"/>
              </w:rPr>
              <w:t>inflammatoires chroniques (principalement la polyarthrite rhumatoïde et la</w:t>
            </w:r>
            <w:r w:rsidR="004D4771">
              <w:rPr>
                <w:rFonts w:cs="Arial"/>
                <w:bCs/>
                <w:sz w:val="18"/>
                <w:szCs w:val="18"/>
              </w:rPr>
              <w:t xml:space="preserve"> </w:t>
            </w:r>
            <w:r w:rsidRPr="00B86AE8">
              <w:rPr>
                <w:rFonts w:cs="Arial"/>
                <w:bCs/>
                <w:sz w:val="18"/>
                <w:szCs w:val="18"/>
              </w:rPr>
              <w:t>spondylarthrite) où il reste insuffisant, en dehors d’un traitement de dernier recours des</w:t>
            </w:r>
            <w:r w:rsidR="00831351">
              <w:rPr>
                <w:rFonts w:cs="Arial"/>
                <w:bCs/>
                <w:sz w:val="18"/>
                <w:szCs w:val="18"/>
              </w:rPr>
              <w:t xml:space="preserve"> </w:t>
            </w:r>
            <w:r w:rsidRPr="00B86AE8">
              <w:rPr>
                <w:rFonts w:cs="Arial"/>
                <w:bCs/>
                <w:sz w:val="18"/>
                <w:szCs w:val="18"/>
              </w:rPr>
              <w:t>douleurs intenses et/ou rebelles de l’arthrose du genou ou de la hanche et de la lombalgie</w:t>
            </w:r>
            <w:r w:rsidR="00831351">
              <w:rPr>
                <w:rFonts w:cs="Arial"/>
                <w:bCs/>
                <w:sz w:val="18"/>
                <w:szCs w:val="18"/>
              </w:rPr>
              <w:t xml:space="preserve"> </w:t>
            </w:r>
            <w:r w:rsidRPr="00B86AE8">
              <w:rPr>
                <w:rFonts w:cs="Arial"/>
                <w:bCs/>
                <w:sz w:val="18"/>
                <w:szCs w:val="18"/>
              </w:rPr>
              <w:t>chronique après échec des autres mesures médicamenteuses et du traitement physique</w:t>
            </w:r>
            <w:r w:rsidR="005C38EC">
              <w:rPr>
                <w:rFonts w:cs="Arial"/>
                <w:bCs/>
                <w:sz w:val="18"/>
                <w:szCs w:val="18"/>
              </w:rPr>
              <w:t>,</w:t>
            </w:r>
            <w:r w:rsidR="00831351">
              <w:rPr>
                <w:rFonts w:cs="Arial"/>
                <w:bCs/>
                <w:sz w:val="18"/>
                <w:szCs w:val="18"/>
              </w:rPr>
              <w:t xml:space="preserve"> </w:t>
            </w:r>
            <w:r w:rsidRPr="00B86AE8">
              <w:rPr>
                <w:rFonts w:cs="Arial"/>
                <w:bCs/>
                <w:sz w:val="18"/>
                <w:szCs w:val="18"/>
              </w:rPr>
              <w:t>recommandés dans ces indications où il reste important.</w:t>
            </w:r>
          </w:p>
        </w:tc>
      </w:tr>
      <w:tr w:rsidR="00D84E4A" w:rsidRPr="00EA50C2" w14:paraId="2CA31DB7"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596FAF40" w14:textId="583DEC59" w:rsidR="00D84E4A" w:rsidRPr="00EA50C2" w:rsidRDefault="00EA50C2" w:rsidP="00EA50C2">
            <w:pPr>
              <w:autoSpaceDE w:val="0"/>
              <w:autoSpaceDN w:val="0"/>
              <w:adjustRightInd w:val="0"/>
              <w:ind w:left="185" w:right="99"/>
              <w:jc w:val="center"/>
              <w:rPr>
                <w:b/>
                <w:sz w:val="20"/>
                <w:szCs w:val="22"/>
              </w:rPr>
            </w:pPr>
            <w:r w:rsidRPr="00EA50C2">
              <w:rPr>
                <w:b/>
                <w:sz w:val="20"/>
                <w:szCs w:val="22"/>
              </w:rPr>
              <w:t>Nalbuphine</w:t>
            </w:r>
          </w:p>
        </w:tc>
      </w:tr>
      <w:tr w:rsidR="006F7B2A" w14:paraId="0F0E5560" w14:textId="77777777" w:rsidTr="00B84ACA">
        <w:trPr>
          <w:trHeight w:hRule="exact" w:val="2541"/>
        </w:trPr>
        <w:tc>
          <w:tcPr>
            <w:tcW w:w="3402" w:type="dxa"/>
            <w:tcBorders>
              <w:top w:val="single" w:sz="4" w:space="0" w:color="A6A6A6"/>
              <w:left w:val="single" w:sz="4" w:space="0" w:color="A6A6A6"/>
              <w:bottom w:val="single" w:sz="4" w:space="0" w:color="A6A6A6"/>
              <w:right w:val="single" w:sz="4" w:space="0" w:color="A6A6A6"/>
            </w:tcBorders>
            <w:vAlign w:val="center"/>
          </w:tcPr>
          <w:p w14:paraId="65BA482D" w14:textId="77777777" w:rsidR="006F7B2A" w:rsidRPr="00063C80" w:rsidRDefault="006F7B2A" w:rsidP="001552DA">
            <w:pPr>
              <w:spacing w:before="60"/>
              <w:ind w:left="179" w:right="96"/>
              <w:jc w:val="left"/>
              <w:rPr>
                <w:b/>
                <w:bCs/>
                <w:sz w:val="18"/>
                <w:szCs w:val="18"/>
              </w:rPr>
            </w:pPr>
            <w:r w:rsidRPr="00B02517">
              <w:rPr>
                <w:b/>
                <w:bCs/>
                <w:sz w:val="18"/>
                <w:szCs w:val="18"/>
              </w:rPr>
              <w:t>NALBUPHINE MYLAN</w:t>
            </w:r>
          </w:p>
          <w:p w14:paraId="366FCA01" w14:textId="77777777" w:rsidR="006F7B2A" w:rsidRPr="00063C80" w:rsidRDefault="006F7B2A" w:rsidP="001552DA">
            <w:pPr>
              <w:ind w:left="179" w:right="99"/>
              <w:jc w:val="left"/>
              <w:rPr>
                <w:b/>
                <w:bCs/>
                <w:sz w:val="18"/>
                <w:szCs w:val="18"/>
              </w:rPr>
            </w:pPr>
            <w:r w:rsidRPr="00B02517">
              <w:rPr>
                <w:b/>
                <w:bCs/>
                <w:sz w:val="18"/>
                <w:szCs w:val="18"/>
              </w:rPr>
              <w:t>NALBUPHINE RENAUDIN</w:t>
            </w:r>
          </w:p>
          <w:p w14:paraId="79A5692B" w14:textId="77777777" w:rsidR="006F7B2A" w:rsidRPr="00063C80" w:rsidRDefault="006F7B2A" w:rsidP="001552DA">
            <w:pPr>
              <w:ind w:left="179" w:right="99"/>
              <w:jc w:val="left"/>
              <w:rPr>
                <w:b/>
                <w:bCs/>
                <w:sz w:val="18"/>
                <w:szCs w:val="18"/>
              </w:rPr>
            </w:pPr>
            <w:r w:rsidRPr="00B02517">
              <w:rPr>
                <w:b/>
                <w:bCs/>
                <w:sz w:val="18"/>
                <w:szCs w:val="18"/>
              </w:rPr>
              <w:t>NALBUPHINE SERB</w:t>
            </w:r>
          </w:p>
          <w:p w14:paraId="32156BD9" w14:textId="77777777" w:rsidR="00B54237" w:rsidRDefault="00B54237" w:rsidP="00B54237">
            <w:pPr>
              <w:ind w:left="179" w:right="99"/>
              <w:jc w:val="left"/>
              <w:rPr>
                <w:b/>
                <w:bCs/>
                <w:sz w:val="18"/>
                <w:szCs w:val="18"/>
              </w:rPr>
            </w:pPr>
            <w:r>
              <w:rPr>
                <w:b/>
                <w:bCs/>
                <w:sz w:val="18"/>
                <w:szCs w:val="18"/>
              </w:rPr>
              <w:t>solution injectable</w:t>
            </w:r>
          </w:p>
          <w:p w14:paraId="59C08A89" w14:textId="15194EA9" w:rsidR="006F7B2A" w:rsidRDefault="006F7B2A" w:rsidP="00B54237">
            <w:pPr>
              <w:ind w:left="179" w:right="99"/>
              <w:jc w:val="left"/>
              <w:rPr>
                <w:bCs/>
                <w:sz w:val="18"/>
                <w:szCs w:val="18"/>
              </w:rPr>
            </w:pPr>
            <w:r w:rsidRPr="00B02517">
              <w:rPr>
                <w:bCs/>
                <w:sz w:val="18"/>
                <w:szCs w:val="18"/>
              </w:rPr>
              <w:t>(nalbuphine)</w:t>
            </w:r>
          </w:p>
          <w:p w14:paraId="12110E5D" w14:textId="5F26DF7F" w:rsidR="006F7B2A" w:rsidRPr="00380445" w:rsidRDefault="006F7B2A" w:rsidP="00F019F6">
            <w:pPr>
              <w:spacing w:before="120"/>
              <w:ind w:left="179" w:right="96"/>
              <w:jc w:val="left"/>
              <w:rPr>
                <w:b/>
                <w:bCs/>
                <w:sz w:val="18"/>
                <w:szCs w:val="18"/>
              </w:rPr>
            </w:pPr>
            <w:r w:rsidRPr="00380445">
              <w:rPr>
                <w:b/>
                <w:bCs/>
                <w:sz w:val="18"/>
                <w:szCs w:val="18"/>
              </w:rPr>
              <w:t>Adulte</w:t>
            </w:r>
            <w:r w:rsidR="00F019F6">
              <w:rPr>
                <w:b/>
                <w:bCs/>
                <w:sz w:val="18"/>
                <w:szCs w:val="18"/>
              </w:rPr>
              <w:t xml:space="preserve"> et e</w:t>
            </w:r>
            <w:r w:rsidRPr="00380445">
              <w:rPr>
                <w:b/>
                <w:bCs/>
                <w:sz w:val="18"/>
                <w:szCs w:val="18"/>
              </w:rPr>
              <w:t>nfant de 18 mois à 15 ans</w:t>
            </w:r>
          </w:p>
        </w:tc>
        <w:tc>
          <w:tcPr>
            <w:tcW w:w="4819" w:type="dxa"/>
            <w:tcBorders>
              <w:top w:val="single" w:sz="4" w:space="0" w:color="A6A6A6"/>
              <w:left w:val="single" w:sz="4" w:space="0" w:color="A6A6A6"/>
              <w:bottom w:val="single" w:sz="4" w:space="0" w:color="A6A6A6"/>
              <w:right w:val="single" w:sz="4" w:space="0" w:color="A6A6A6"/>
            </w:tcBorders>
            <w:vAlign w:val="center"/>
          </w:tcPr>
          <w:p w14:paraId="1EF564EE" w14:textId="399B9272" w:rsidR="006F7B2A" w:rsidRPr="00B02517" w:rsidRDefault="006F7B2A" w:rsidP="00211278">
            <w:pPr>
              <w:ind w:left="43" w:right="98"/>
              <w:rPr>
                <w:sz w:val="18"/>
                <w:szCs w:val="18"/>
              </w:rPr>
            </w:pPr>
            <w:r w:rsidRPr="00B02517">
              <w:rPr>
                <w:sz w:val="18"/>
                <w:szCs w:val="18"/>
              </w:rPr>
              <w:t>Douleurs intenses et/ou rebelles aux antalgiques de niveau plus faible.</w:t>
            </w:r>
          </w:p>
        </w:tc>
        <w:tc>
          <w:tcPr>
            <w:tcW w:w="2170" w:type="dxa"/>
            <w:tcBorders>
              <w:top w:val="single" w:sz="4" w:space="0" w:color="A6A6A6"/>
              <w:left w:val="single" w:sz="4" w:space="0" w:color="A6A6A6"/>
              <w:bottom w:val="single" w:sz="4" w:space="0" w:color="A6A6A6"/>
              <w:right w:val="single" w:sz="4" w:space="0" w:color="A6A6A6"/>
            </w:tcBorders>
            <w:vAlign w:val="center"/>
          </w:tcPr>
          <w:p w14:paraId="56FA6C70" w14:textId="36CBE2C3" w:rsidR="006F7B2A" w:rsidRPr="00B02517" w:rsidRDefault="006F7B2A" w:rsidP="00C84278">
            <w:pPr>
              <w:jc w:val="center"/>
              <w:rPr>
                <w:rFonts w:cs="Arial"/>
                <w:sz w:val="18"/>
                <w:szCs w:val="18"/>
              </w:rPr>
            </w:pPr>
            <w:r w:rsidRPr="00C006A5">
              <w:rPr>
                <w:rFonts w:cs="Arial"/>
                <w:sz w:val="18"/>
                <w:szCs w:val="18"/>
              </w:rPr>
              <w:t>Réévaluation</w:t>
            </w:r>
            <w:r w:rsidR="008B1CC0">
              <w:rPr>
                <w:rFonts w:cs="Arial"/>
                <w:sz w:val="18"/>
                <w:szCs w:val="18"/>
              </w:rPr>
              <w:t xml:space="preserve"> </w:t>
            </w:r>
            <w:r w:rsidRPr="00C006A5">
              <w:rPr>
                <w:rFonts w:cs="Arial"/>
                <w:sz w:val="18"/>
                <w:szCs w:val="18"/>
              </w:rPr>
              <w:t>mars 2014</w:t>
            </w:r>
          </w:p>
        </w:tc>
        <w:tc>
          <w:tcPr>
            <w:tcW w:w="4111" w:type="dxa"/>
            <w:tcBorders>
              <w:top w:val="single" w:sz="4" w:space="0" w:color="A6A6A6"/>
              <w:left w:val="single" w:sz="4" w:space="0" w:color="A6A6A6"/>
              <w:bottom w:val="single" w:sz="4" w:space="0" w:color="A6A6A6"/>
              <w:right w:val="single" w:sz="4" w:space="0" w:color="A6A6A6"/>
            </w:tcBorders>
            <w:vAlign w:val="center"/>
          </w:tcPr>
          <w:p w14:paraId="7340912D" w14:textId="4EDFB775" w:rsidR="006F7B2A" w:rsidRPr="0048444B" w:rsidRDefault="00E03652" w:rsidP="0048444B">
            <w:pPr>
              <w:autoSpaceDE w:val="0"/>
              <w:autoSpaceDN w:val="0"/>
              <w:adjustRightInd w:val="0"/>
              <w:ind w:left="42" w:right="137"/>
              <w:rPr>
                <w:rFonts w:cs="Arial"/>
                <w:bCs/>
                <w:color w:val="000000"/>
                <w:sz w:val="18"/>
                <w:szCs w:val="18"/>
              </w:rPr>
            </w:pPr>
            <w:r w:rsidRPr="00EB1473">
              <w:rPr>
                <w:rFonts w:cs="Arial"/>
                <w:bCs/>
                <w:sz w:val="18"/>
                <w:szCs w:val="18"/>
              </w:rPr>
              <w:t>important dans l’indication de l’AMM, excepté dans les douleurs</w:t>
            </w:r>
            <w:r w:rsidR="00644022" w:rsidRPr="00EB1473">
              <w:rPr>
                <w:rFonts w:cs="Arial"/>
                <w:bCs/>
                <w:sz w:val="18"/>
                <w:szCs w:val="18"/>
              </w:rPr>
              <w:t xml:space="preserve"> </w:t>
            </w:r>
            <w:r w:rsidRPr="00EB1473">
              <w:rPr>
                <w:rFonts w:cs="Arial"/>
                <w:bCs/>
                <w:sz w:val="18"/>
                <w:szCs w:val="18"/>
              </w:rPr>
              <w:t>chroniques non cancéreuses et non neuropathiques, notamment dans les rhumatismes</w:t>
            </w:r>
            <w:r w:rsidR="00434268" w:rsidRPr="00EB1473">
              <w:rPr>
                <w:rFonts w:cs="Arial"/>
                <w:bCs/>
                <w:sz w:val="18"/>
                <w:szCs w:val="18"/>
              </w:rPr>
              <w:t xml:space="preserve"> </w:t>
            </w:r>
            <w:r w:rsidRPr="00EB1473">
              <w:rPr>
                <w:rFonts w:cs="Arial"/>
                <w:bCs/>
                <w:sz w:val="18"/>
                <w:szCs w:val="18"/>
              </w:rPr>
              <w:t>inflammatoires chroniques (principalement la polyarthrite rhumatoïde et la</w:t>
            </w:r>
            <w:r w:rsidR="00831351" w:rsidRPr="00EB1473">
              <w:rPr>
                <w:rFonts w:cs="Arial"/>
                <w:bCs/>
                <w:sz w:val="18"/>
                <w:szCs w:val="18"/>
              </w:rPr>
              <w:t xml:space="preserve"> </w:t>
            </w:r>
            <w:r w:rsidRPr="00EB1473">
              <w:rPr>
                <w:rFonts w:cs="Arial"/>
                <w:bCs/>
                <w:sz w:val="18"/>
                <w:szCs w:val="18"/>
              </w:rPr>
              <w:t>spondylarthrite) où il reste insuffisant, en dehors d’un traitement de dernier recours des</w:t>
            </w:r>
            <w:r w:rsidR="00831351" w:rsidRPr="00EB1473">
              <w:rPr>
                <w:rFonts w:cs="Arial"/>
                <w:bCs/>
                <w:sz w:val="18"/>
                <w:szCs w:val="18"/>
              </w:rPr>
              <w:t xml:space="preserve"> </w:t>
            </w:r>
            <w:r w:rsidRPr="00EB1473">
              <w:rPr>
                <w:rFonts w:cs="Arial"/>
                <w:bCs/>
                <w:sz w:val="18"/>
                <w:szCs w:val="18"/>
              </w:rPr>
              <w:t>douleurs intenses et/ou rebelles de l’arthrose du genou ou de la hanche et de la lombalgie</w:t>
            </w:r>
            <w:r w:rsidR="00831351" w:rsidRPr="00EB1473">
              <w:rPr>
                <w:rFonts w:cs="Arial"/>
                <w:bCs/>
                <w:sz w:val="18"/>
                <w:szCs w:val="18"/>
              </w:rPr>
              <w:t xml:space="preserve"> </w:t>
            </w:r>
            <w:r w:rsidRPr="00EB1473">
              <w:rPr>
                <w:rFonts w:cs="Arial"/>
                <w:bCs/>
                <w:sz w:val="18"/>
                <w:szCs w:val="18"/>
              </w:rPr>
              <w:t>chronique après échec des autres mesures médicamenteuses et du traitement physique</w:t>
            </w:r>
            <w:r w:rsidR="005C38EC">
              <w:rPr>
                <w:rFonts w:cs="Arial"/>
                <w:bCs/>
                <w:sz w:val="18"/>
                <w:szCs w:val="18"/>
              </w:rPr>
              <w:t>,</w:t>
            </w:r>
            <w:r w:rsidR="00831351" w:rsidRPr="00EB1473">
              <w:rPr>
                <w:rFonts w:cs="Arial"/>
                <w:bCs/>
                <w:sz w:val="18"/>
                <w:szCs w:val="18"/>
              </w:rPr>
              <w:t xml:space="preserve"> </w:t>
            </w:r>
            <w:r w:rsidRPr="00EB1473">
              <w:rPr>
                <w:rFonts w:cs="Arial"/>
                <w:bCs/>
                <w:sz w:val="18"/>
                <w:szCs w:val="18"/>
              </w:rPr>
              <w:t>recommandés dans ces indications où il reste important.</w:t>
            </w:r>
          </w:p>
        </w:tc>
      </w:tr>
      <w:tr w:rsidR="00AE7C36" w:rsidRPr="00EA50C2" w14:paraId="4B5987D1" w14:textId="77777777" w:rsidTr="00EA50C2">
        <w:trPr>
          <w:trHeight w:hRule="exact" w:val="340"/>
        </w:trPr>
        <w:tc>
          <w:tcPr>
            <w:tcW w:w="14502" w:type="dxa"/>
            <w:gridSpan w:val="4"/>
            <w:tcBorders>
              <w:top w:val="single" w:sz="4" w:space="0" w:color="A6A6A6"/>
              <w:left w:val="single" w:sz="4" w:space="0" w:color="A6A6A6"/>
              <w:bottom w:val="single" w:sz="4" w:space="0" w:color="A6A6A6"/>
              <w:right w:val="single" w:sz="4" w:space="0" w:color="A6A6A6"/>
            </w:tcBorders>
            <w:shd w:val="clear" w:color="auto" w:fill="C6D9F1" w:themeFill="text2" w:themeFillTint="33"/>
            <w:vAlign w:val="center"/>
          </w:tcPr>
          <w:p w14:paraId="33EDF840" w14:textId="6B23BF0F" w:rsidR="00AE7C36" w:rsidRPr="00EA50C2" w:rsidRDefault="00EA50C2" w:rsidP="00EA50C2">
            <w:pPr>
              <w:autoSpaceDE w:val="0"/>
              <w:autoSpaceDN w:val="0"/>
              <w:adjustRightInd w:val="0"/>
              <w:ind w:left="185" w:right="99"/>
              <w:jc w:val="center"/>
              <w:rPr>
                <w:b/>
                <w:sz w:val="20"/>
                <w:szCs w:val="22"/>
              </w:rPr>
            </w:pPr>
            <w:r w:rsidRPr="00EA50C2">
              <w:rPr>
                <w:b/>
                <w:sz w:val="20"/>
                <w:szCs w:val="22"/>
              </w:rPr>
              <w:t>Tapentadol</w:t>
            </w:r>
          </w:p>
        </w:tc>
      </w:tr>
      <w:tr w:rsidR="00AE7C36" w14:paraId="52FB83BA" w14:textId="77777777" w:rsidTr="00B84ACA">
        <w:trPr>
          <w:trHeight w:hRule="exact" w:val="2425"/>
        </w:trPr>
        <w:tc>
          <w:tcPr>
            <w:tcW w:w="3402" w:type="dxa"/>
            <w:tcBorders>
              <w:top w:val="single" w:sz="4" w:space="0" w:color="A6A6A6"/>
              <w:left w:val="single" w:sz="4" w:space="0" w:color="A6A6A6"/>
              <w:bottom w:val="single" w:sz="4" w:space="0" w:color="A6A6A6"/>
              <w:right w:val="single" w:sz="4" w:space="0" w:color="A6A6A6"/>
            </w:tcBorders>
            <w:vAlign w:val="center"/>
          </w:tcPr>
          <w:p w14:paraId="19E9714B" w14:textId="10AF6DA8" w:rsidR="00FE7D0F" w:rsidRDefault="00AE7C36" w:rsidP="0095765D">
            <w:pPr>
              <w:ind w:left="187" w:right="96"/>
              <w:jc w:val="left"/>
              <w:rPr>
                <w:b/>
                <w:bCs/>
                <w:sz w:val="18"/>
                <w:szCs w:val="18"/>
              </w:rPr>
            </w:pPr>
            <w:r>
              <w:rPr>
                <w:b/>
                <w:bCs/>
                <w:sz w:val="18"/>
                <w:szCs w:val="18"/>
              </w:rPr>
              <w:t>PALEXIA LP</w:t>
            </w:r>
            <w:r w:rsidR="00FE7D0F">
              <w:rPr>
                <w:b/>
                <w:bCs/>
                <w:sz w:val="18"/>
                <w:szCs w:val="18"/>
              </w:rPr>
              <w:t xml:space="preserve"> </w:t>
            </w:r>
            <w:r w:rsidR="00B54237">
              <w:rPr>
                <w:b/>
                <w:bCs/>
                <w:sz w:val="18"/>
                <w:szCs w:val="18"/>
              </w:rPr>
              <w:t>c</w:t>
            </w:r>
            <w:r w:rsidR="00FE7D0F">
              <w:rPr>
                <w:b/>
                <w:bCs/>
                <w:sz w:val="18"/>
                <w:szCs w:val="18"/>
              </w:rPr>
              <w:t>omprimé</w:t>
            </w:r>
          </w:p>
          <w:p w14:paraId="046D1D21" w14:textId="350E8E1D" w:rsidR="00B267B2" w:rsidRDefault="00B267B2" w:rsidP="0095765D">
            <w:pPr>
              <w:ind w:left="185" w:right="99"/>
              <w:jc w:val="left"/>
              <w:rPr>
                <w:sz w:val="18"/>
                <w:szCs w:val="18"/>
              </w:rPr>
            </w:pPr>
            <w:r w:rsidRPr="0095765D">
              <w:rPr>
                <w:sz w:val="18"/>
                <w:szCs w:val="18"/>
              </w:rPr>
              <w:t>(tapentadol)</w:t>
            </w:r>
          </w:p>
          <w:p w14:paraId="0A6EBE56" w14:textId="0BCFE053" w:rsidR="00B54237" w:rsidRPr="00A4781D" w:rsidRDefault="00320CD0" w:rsidP="0095765D">
            <w:pPr>
              <w:ind w:left="185" w:right="99"/>
              <w:jc w:val="left"/>
              <w:rPr>
                <w:i/>
                <w:iCs/>
                <w:sz w:val="18"/>
                <w:szCs w:val="18"/>
              </w:rPr>
            </w:pPr>
            <w:r w:rsidRPr="00A4781D">
              <w:rPr>
                <w:rFonts w:cs="Arial"/>
                <w:i/>
                <w:iCs/>
                <w:sz w:val="18"/>
                <w:szCs w:val="18"/>
              </w:rPr>
              <w:t>Grünenthal</w:t>
            </w:r>
          </w:p>
          <w:p w14:paraId="2AF8D12A" w14:textId="55658FD8" w:rsidR="00AE7C36" w:rsidRPr="00AE7C36" w:rsidRDefault="00B267B2" w:rsidP="00EA50C2">
            <w:pPr>
              <w:spacing w:before="120"/>
              <w:ind w:left="187" w:right="96"/>
              <w:jc w:val="left"/>
              <w:rPr>
                <w:b/>
                <w:bCs/>
                <w:sz w:val="18"/>
                <w:szCs w:val="18"/>
              </w:rPr>
            </w:pPr>
            <w:r>
              <w:rPr>
                <w:b/>
                <w:bCs/>
                <w:sz w:val="18"/>
                <w:szCs w:val="18"/>
              </w:rPr>
              <w:t>Adulte</w:t>
            </w:r>
          </w:p>
        </w:tc>
        <w:tc>
          <w:tcPr>
            <w:tcW w:w="4819" w:type="dxa"/>
            <w:tcBorders>
              <w:top w:val="single" w:sz="4" w:space="0" w:color="A6A6A6"/>
              <w:left w:val="single" w:sz="4" w:space="0" w:color="A6A6A6"/>
              <w:bottom w:val="single" w:sz="4" w:space="0" w:color="A6A6A6"/>
              <w:right w:val="single" w:sz="4" w:space="0" w:color="A6A6A6"/>
            </w:tcBorders>
            <w:vAlign w:val="center"/>
          </w:tcPr>
          <w:p w14:paraId="267D0609" w14:textId="77777777" w:rsidR="00AE7C36" w:rsidRDefault="00AE7C36" w:rsidP="00CC2175">
            <w:pPr>
              <w:ind w:left="43" w:right="98"/>
              <w:rPr>
                <w:rFonts w:cs="Arial"/>
                <w:bCs/>
                <w:iCs/>
                <w:sz w:val="18"/>
                <w:szCs w:val="18"/>
              </w:rPr>
            </w:pPr>
            <w:r>
              <w:rPr>
                <w:rFonts w:cs="Arial"/>
                <w:bCs/>
                <w:iCs/>
                <w:sz w:val="18"/>
                <w:szCs w:val="18"/>
              </w:rPr>
              <w:t>D</w:t>
            </w:r>
            <w:r w:rsidRPr="00AE7C36">
              <w:rPr>
                <w:rFonts w:cs="Arial"/>
                <w:bCs/>
                <w:iCs/>
                <w:sz w:val="18"/>
                <w:szCs w:val="18"/>
              </w:rPr>
              <w:t>ouleurs chroniques sévères de l’adulte, qui ne peuvent être correctement traitées que par des antalgiques opioïdes</w:t>
            </w:r>
          </w:p>
          <w:p w14:paraId="255D4F94" w14:textId="77777777" w:rsidR="00075B12" w:rsidRDefault="00075B12" w:rsidP="00CC2175">
            <w:pPr>
              <w:ind w:left="43" w:right="98"/>
              <w:rPr>
                <w:rFonts w:cs="Arial"/>
                <w:bCs/>
                <w:iCs/>
                <w:sz w:val="18"/>
                <w:szCs w:val="18"/>
              </w:rPr>
            </w:pPr>
          </w:p>
          <w:p w14:paraId="07C29F1C" w14:textId="77777777" w:rsidR="00075B12" w:rsidRPr="00B267B2" w:rsidRDefault="00075B12" w:rsidP="00B267B2">
            <w:pPr>
              <w:ind w:left="43" w:right="98"/>
              <w:jc w:val="center"/>
              <w:rPr>
                <w:b/>
                <w:bCs/>
                <w:sz w:val="18"/>
                <w:szCs w:val="18"/>
              </w:rPr>
            </w:pPr>
            <w:r w:rsidRPr="00B267B2">
              <w:rPr>
                <w:rFonts w:cs="Arial"/>
                <w:b/>
                <w:bCs/>
                <w:iCs/>
                <w:sz w:val="18"/>
                <w:szCs w:val="18"/>
              </w:rPr>
              <w:t>Non inscrit</w:t>
            </w:r>
          </w:p>
        </w:tc>
        <w:tc>
          <w:tcPr>
            <w:tcW w:w="2170" w:type="dxa"/>
            <w:tcBorders>
              <w:top w:val="single" w:sz="4" w:space="0" w:color="A6A6A6"/>
              <w:left w:val="single" w:sz="4" w:space="0" w:color="A6A6A6"/>
              <w:bottom w:val="single" w:sz="4" w:space="0" w:color="A6A6A6"/>
              <w:right w:val="single" w:sz="4" w:space="0" w:color="A6A6A6"/>
            </w:tcBorders>
            <w:vAlign w:val="center"/>
          </w:tcPr>
          <w:p w14:paraId="505EAD71" w14:textId="77777777" w:rsidR="00AE7C36" w:rsidRPr="00B267B2" w:rsidRDefault="00AE7C36" w:rsidP="006017DD">
            <w:pPr>
              <w:spacing w:before="60"/>
              <w:jc w:val="center"/>
              <w:rPr>
                <w:rFonts w:cs="Arial"/>
                <w:sz w:val="18"/>
                <w:szCs w:val="18"/>
              </w:rPr>
            </w:pPr>
            <w:r w:rsidRPr="00B267B2">
              <w:rPr>
                <w:rFonts w:cs="Arial"/>
                <w:sz w:val="18"/>
                <w:szCs w:val="18"/>
              </w:rPr>
              <w:t>Inscription 25 juin 2014</w:t>
            </w:r>
          </w:p>
          <w:p w14:paraId="5B30B1B3" w14:textId="77777777" w:rsidR="00F05756" w:rsidRPr="00B267B2" w:rsidRDefault="00F05756" w:rsidP="006017DD">
            <w:pPr>
              <w:jc w:val="center"/>
              <w:rPr>
                <w:rFonts w:cs="Arial"/>
                <w:sz w:val="18"/>
                <w:szCs w:val="18"/>
              </w:rPr>
            </w:pPr>
          </w:p>
          <w:p w14:paraId="761DFE36" w14:textId="2866096F" w:rsidR="00F05756" w:rsidRPr="00B267B2" w:rsidRDefault="00F05756" w:rsidP="006017DD">
            <w:pPr>
              <w:jc w:val="center"/>
              <w:rPr>
                <w:rFonts w:cs="Arial"/>
                <w:sz w:val="18"/>
                <w:szCs w:val="18"/>
              </w:rPr>
            </w:pPr>
          </w:p>
          <w:p w14:paraId="736C9FD6" w14:textId="233692C7" w:rsidR="00AE7C36" w:rsidRPr="00807C97" w:rsidRDefault="00F94D1C" w:rsidP="006017DD">
            <w:pPr>
              <w:jc w:val="center"/>
              <w:rPr>
                <w:rFonts w:cs="Arial"/>
                <w:sz w:val="18"/>
                <w:szCs w:val="18"/>
              </w:rPr>
            </w:pPr>
            <w:r w:rsidRPr="00B267B2">
              <w:rPr>
                <w:rFonts w:cs="Arial"/>
                <w:sz w:val="18"/>
                <w:szCs w:val="18"/>
              </w:rPr>
              <w:t>R</w:t>
            </w:r>
            <w:r w:rsidR="00807C97">
              <w:rPr>
                <w:rFonts w:cs="Arial"/>
                <w:sz w:val="18"/>
                <w:szCs w:val="18"/>
              </w:rPr>
              <w:t>éévaluation 0</w:t>
            </w:r>
            <w:r w:rsidR="00F05756" w:rsidRPr="00B267B2">
              <w:rPr>
                <w:rFonts w:cs="Arial"/>
                <w:sz w:val="18"/>
                <w:szCs w:val="18"/>
              </w:rPr>
              <w:t>7</w:t>
            </w:r>
            <w:r w:rsidR="00807C97">
              <w:rPr>
                <w:rFonts w:cs="Arial"/>
                <w:sz w:val="18"/>
                <w:szCs w:val="18"/>
              </w:rPr>
              <w:t>/06/</w:t>
            </w:r>
            <w:r w:rsidR="00AE7C36" w:rsidRPr="00B267B2">
              <w:rPr>
                <w:rFonts w:cs="Arial"/>
                <w:sz w:val="18"/>
                <w:szCs w:val="18"/>
              </w:rPr>
              <w:t>2017</w:t>
            </w:r>
          </w:p>
        </w:tc>
        <w:tc>
          <w:tcPr>
            <w:tcW w:w="4111" w:type="dxa"/>
            <w:tcBorders>
              <w:top w:val="single" w:sz="4" w:space="0" w:color="A6A6A6"/>
              <w:left w:val="single" w:sz="4" w:space="0" w:color="A6A6A6"/>
              <w:bottom w:val="single" w:sz="4" w:space="0" w:color="A6A6A6"/>
              <w:right w:val="single" w:sz="4" w:space="0" w:color="A6A6A6"/>
            </w:tcBorders>
            <w:vAlign w:val="center"/>
          </w:tcPr>
          <w:p w14:paraId="1221740A" w14:textId="77777777" w:rsidR="009C36A9" w:rsidRPr="009C36A9" w:rsidRDefault="00AE7C36" w:rsidP="009C36A9">
            <w:pPr>
              <w:pStyle w:val="Paragraphedeliste"/>
              <w:numPr>
                <w:ilvl w:val="0"/>
                <w:numId w:val="35"/>
              </w:numPr>
              <w:ind w:left="187" w:right="136" w:hanging="142"/>
              <w:rPr>
                <w:rFonts w:cs="Arial"/>
                <w:bCs/>
                <w:iCs/>
                <w:szCs w:val="22"/>
              </w:rPr>
            </w:pPr>
            <w:r w:rsidRPr="00F61B98">
              <w:rPr>
                <w:rFonts w:cs="Arial"/>
                <w:bCs/>
                <w:iCs/>
                <w:sz w:val="18"/>
                <w:szCs w:val="18"/>
              </w:rPr>
              <w:t>faible</w:t>
            </w:r>
            <w:r w:rsidRPr="009C36A9">
              <w:rPr>
                <w:rFonts w:cs="Arial"/>
                <w:bCs/>
                <w:iCs/>
                <w:sz w:val="18"/>
                <w:szCs w:val="18"/>
              </w:rPr>
              <w:t xml:space="preserve"> dans le traitement des douleurs chroniques sévères de l’adulte d’origine cancéreuse, qui ne peuvent être correctement traitées que par des antalgiques opioïdes, à l’exception des douleurs d’origine cancéreuse rebelles</w:t>
            </w:r>
          </w:p>
          <w:p w14:paraId="1C6111FB" w14:textId="4C3BFE58" w:rsidR="00AE7C36" w:rsidRPr="00377166" w:rsidRDefault="00AE7C36" w:rsidP="00377166">
            <w:pPr>
              <w:pStyle w:val="Paragraphedeliste"/>
              <w:numPr>
                <w:ilvl w:val="0"/>
                <w:numId w:val="35"/>
              </w:numPr>
              <w:spacing w:before="60"/>
              <w:ind w:left="187" w:right="136" w:hanging="142"/>
              <w:rPr>
                <w:rFonts w:cs="Arial"/>
                <w:bCs/>
                <w:iCs/>
                <w:sz w:val="18"/>
                <w:szCs w:val="18"/>
              </w:rPr>
            </w:pPr>
            <w:r w:rsidRPr="00377166">
              <w:rPr>
                <w:rFonts w:cs="Arial"/>
                <w:bCs/>
                <w:iCs/>
                <w:sz w:val="18"/>
                <w:szCs w:val="18"/>
              </w:rPr>
              <w:t>insuffisant dans le traitement des douleurs chroniques sévères non cancéreuses, non neuropathiques de l’adulte</w:t>
            </w:r>
            <w:r w:rsidRPr="00377166">
              <w:rPr>
                <w:sz w:val="18"/>
                <w:szCs w:val="18"/>
              </w:rPr>
              <w:t xml:space="preserve"> </w:t>
            </w:r>
            <w:r w:rsidRPr="00377166">
              <w:rPr>
                <w:rFonts w:cs="Arial"/>
                <w:bCs/>
                <w:iCs/>
                <w:sz w:val="18"/>
                <w:szCs w:val="18"/>
              </w:rPr>
              <w:t>qui ne peuvent être correctement traitées que par des antalgiques opioïdes.</w:t>
            </w:r>
          </w:p>
        </w:tc>
      </w:tr>
    </w:tbl>
    <w:p w14:paraId="09B90990" w14:textId="5047410A" w:rsidR="004D4771" w:rsidRPr="009C36A9" w:rsidRDefault="006F7B2A" w:rsidP="00377166">
      <w:pPr>
        <w:spacing w:before="120"/>
        <w:rPr>
          <w:rFonts w:cs="Arial"/>
          <w:b/>
          <w:iCs/>
          <w:sz w:val="18"/>
          <w:szCs w:val="18"/>
        </w:rPr>
      </w:pPr>
      <w:r>
        <w:rPr>
          <w:rFonts w:cs="Tunga"/>
          <w:sz w:val="18"/>
          <w:szCs w:val="18"/>
        </w:rPr>
        <w:t xml:space="preserve">RI : </w:t>
      </w:r>
      <w:r w:rsidRPr="00193C48">
        <w:rPr>
          <w:rFonts w:cs="Tunga"/>
          <w:sz w:val="18"/>
          <w:szCs w:val="18"/>
        </w:rPr>
        <w:t>Renouvellement d’inscription</w:t>
      </w:r>
      <w:r w:rsidR="009C36A9">
        <w:rPr>
          <w:rFonts w:cs="Tunga"/>
          <w:sz w:val="18"/>
          <w:szCs w:val="18"/>
        </w:rPr>
        <w:t xml:space="preserve"> - </w:t>
      </w:r>
      <w:r w:rsidR="00F966EA" w:rsidRPr="009C36A9">
        <w:rPr>
          <w:rFonts w:cs="Arial"/>
          <w:b/>
          <w:iCs/>
          <w:color w:val="000000" w:themeColor="text1"/>
          <w:sz w:val="18"/>
          <w:szCs w:val="18"/>
        </w:rPr>
        <w:t xml:space="preserve">Réévaluation du SMR des spécialités à base d’opioïdes forts dans les </w:t>
      </w:r>
      <w:r w:rsidR="00F966EA" w:rsidRPr="009C36A9">
        <w:rPr>
          <w:rFonts w:cs="Arial"/>
          <w:b/>
          <w:iCs/>
          <w:color w:val="000000" w:themeColor="text1"/>
          <w:sz w:val="18"/>
          <w:szCs w:val="18"/>
          <w:u w:val="single"/>
        </w:rPr>
        <w:t>douleurs chroniques non cancéreuses et non neuropathiques</w:t>
      </w:r>
      <w:r w:rsidR="003B07C2" w:rsidRPr="009C36A9">
        <w:rPr>
          <w:rFonts w:cs="Arial"/>
          <w:b/>
          <w:iCs/>
          <w:color w:val="000000" w:themeColor="text1"/>
          <w:sz w:val="18"/>
          <w:szCs w:val="18"/>
        </w:rPr>
        <w:t xml:space="preserve"> </w:t>
      </w:r>
      <w:r w:rsidR="009C36A9">
        <w:rPr>
          <w:rFonts w:cs="Arial"/>
          <w:b/>
          <w:iCs/>
          <w:color w:val="000000" w:themeColor="text1"/>
          <w:sz w:val="18"/>
          <w:szCs w:val="18"/>
        </w:rPr>
        <w:t xml:space="preserve">du </w:t>
      </w:r>
      <w:r w:rsidR="00F966EA" w:rsidRPr="009C36A9">
        <w:rPr>
          <w:rFonts w:cs="Arial"/>
          <w:b/>
          <w:iCs/>
          <w:color w:val="000000" w:themeColor="text1"/>
          <w:sz w:val="18"/>
          <w:szCs w:val="18"/>
        </w:rPr>
        <w:t>19 mars 2014</w:t>
      </w:r>
      <w:r w:rsidR="009C36A9" w:rsidRPr="009C36A9">
        <w:rPr>
          <w:rFonts w:cs="Arial"/>
          <w:b/>
          <w:iCs/>
          <w:color w:val="000000" w:themeColor="text1"/>
          <w:sz w:val="18"/>
          <w:szCs w:val="18"/>
        </w:rPr>
        <w:t xml:space="preserve"> </w:t>
      </w:r>
      <w:r w:rsidR="00C006A5" w:rsidRPr="009C36A9">
        <w:rPr>
          <w:rFonts w:cs="Arial"/>
          <w:iCs/>
          <w:sz w:val="18"/>
          <w:szCs w:val="18"/>
        </w:rPr>
        <w:t>(A</w:t>
      </w:r>
      <w:r w:rsidR="00623619" w:rsidRPr="009C36A9">
        <w:rPr>
          <w:iCs/>
          <w:sz w:val="18"/>
          <w:szCs w:val="18"/>
        </w:rPr>
        <w:t>CTISKENAN, MORPHINE AGUETTANT, MORPHINE COOPER, MORPHINE LAVOISIER</w:t>
      </w:r>
      <w:r w:rsidR="00D055FC">
        <w:rPr>
          <w:iCs/>
          <w:sz w:val="18"/>
          <w:szCs w:val="18"/>
        </w:rPr>
        <w:t>, MORPHINE RENAUDIN, MOSCONTIN</w:t>
      </w:r>
      <w:r w:rsidR="00623619" w:rsidRPr="009C36A9">
        <w:rPr>
          <w:iCs/>
          <w:sz w:val="18"/>
          <w:szCs w:val="18"/>
        </w:rPr>
        <w:t>, ORAMORPH, NALBUPHINE AGUETTANT, NALBUPHINE MYLAN, NALBUPHINE RENAUDIN, NALBUPHINE SERB, PETHIDINE RENAUDIN, SEVREDOL, SKENAN LP, TEMGESIC)</w:t>
      </w:r>
      <w:r w:rsidR="009C36A9" w:rsidRPr="009C36A9">
        <w:rPr>
          <w:iCs/>
          <w:sz w:val="18"/>
          <w:szCs w:val="18"/>
        </w:rPr>
        <w:t>.</w:t>
      </w:r>
    </w:p>
    <w:p w14:paraId="69CE5A0A" w14:textId="77777777" w:rsidR="00644022" w:rsidRDefault="00644022" w:rsidP="00644022">
      <w:pPr>
        <w:rPr>
          <w:rFonts w:cs="Arial"/>
          <w:bCs/>
          <w:iCs/>
          <w:szCs w:val="22"/>
        </w:rPr>
        <w:sectPr w:rsidR="00644022" w:rsidSect="004940F3">
          <w:pgSz w:w="16840" w:h="11907" w:orient="landscape" w:code="9"/>
          <w:pgMar w:top="284" w:right="1134" w:bottom="284" w:left="1134" w:header="709" w:footer="709" w:gutter="0"/>
          <w:cols w:space="708"/>
          <w:docGrid w:linePitch="360"/>
        </w:sectPr>
      </w:pPr>
    </w:p>
    <w:p w14:paraId="2C611956" w14:textId="77777777" w:rsidR="007F5191" w:rsidRPr="00C13E96" w:rsidRDefault="00D100BD" w:rsidP="00DA6BD6">
      <w:pPr>
        <w:pStyle w:val="Titre2"/>
      </w:pPr>
      <w:r>
        <w:t>Comparateurs non médicamenteux</w:t>
      </w:r>
    </w:p>
    <w:p w14:paraId="54602ED3" w14:textId="6EE9C0FB" w:rsidR="00726BC6" w:rsidRDefault="008A11F2" w:rsidP="0093179A">
      <w:r>
        <w:t>Sans objet</w:t>
      </w:r>
    </w:p>
    <w:p w14:paraId="011D8FEB" w14:textId="77777777" w:rsidR="007F5191" w:rsidRDefault="007F5191" w:rsidP="007F519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26DB86" w14:textId="77777777" w:rsidR="007F5191" w:rsidRPr="0061014C" w:rsidRDefault="007F5191" w:rsidP="003825E8">
      <w:pPr>
        <w:pStyle w:val="Titrepuce"/>
      </w:pPr>
      <w:r w:rsidRPr="0061014C">
        <w:t>Conclusion</w:t>
      </w:r>
    </w:p>
    <w:p w14:paraId="10088CC3" w14:textId="007E9C50" w:rsidR="008E074D" w:rsidRPr="00096651" w:rsidRDefault="008E074D" w:rsidP="0093179A">
      <w:pPr>
        <w:pStyle w:val="StyleGras"/>
        <w:shd w:val="clear" w:color="auto" w:fill="auto"/>
        <w:rPr>
          <w:szCs w:val="22"/>
        </w:rPr>
      </w:pPr>
      <w:r>
        <w:t>D’après l</w:t>
      </w:r>
      <w:r w:rsidR="00504790">
        <w:t xml:space="preserve">es données </w:t>
      </w:r>
      <w:r w:rsidR="00504790" w:rsidRPr="00096651">
        <w:rPr>
          <w:szCs w:val="22"/>
        </w:rPr>
        <w:t>du RCP de ZORYON</w:t>
      </w:r>
      <w:r w:rsidRPr="00096651">
        <w:rPr>
          <w:szCs w:val="22"/>
        </w:rPr>
        <w:t xml:space="preserve">, </w:t>
      </w:r>
      <w:r w:rsidR="00914350">
        <w:rPr>
          <w:szCs w:val="22"/>
        </w:rPr>
        <w:t>s</w:t>
      </w:r>
      <w:r w:rsidRPr="00096651">
        <w:rPr>
          <w:szCs w:val="22"/>
        </w:rPr>
        <w:t xml:space="preserve">es comparateurs cliniquement pertinents sont les opioïdes </w:t>
      </w:r>
      <w:r w:rsidR="00AC07CA">
        <w:rPr>
          <w:szCs w:val="22"/>
        </w:rPr>
        <w:t>forts</w:t>
      </w:r>
      <w:r w:rsidRPr="00096651">
        <w:rPr>
          <w:szCs w:val="22"/>
        </w:rPr>
        <w:t xml:space="preserve"> utilisés dans </w:t>
      </w:r>
      <w:r w:rsidR="00096651">
        <w:rPr>
          <w:szCs w:val="22"/>
        </w:rPr>
        <w:t xml:space="preserve">la prise en charge des douleurs </w:t>
      </w:r>
      <w:r w:rsidRPr="00096651">
        <w:rPr>
          <w:szCs w:val="22"/>
        </w:rPr>
        <w:t xml:space="preserve">d’intensité modérée à sévère d’origine cancéreuse dans le cadre </w:t>
      </w:r>
      <w:r w:rsidR="00ED6CF1" w:rsidRPr="00096651">
        <w:rPr>
          <w:szCs w:val="22"/>
        </w:rPr>
        <w:t>d</w:t>
      </w:r>
      <w:r w:rsidRPr="00096651">
        <w:rPr>
          <w:szCs w:val="22"/>
        </w:rPr>
        <w:t>e la rotation de</w:t>
      </w:r>
      <w:r w:rsidR="001C03E7">
        <w:rPr>
          <w:szCs w:val="22"/>
        </w:rPr>
        <w:t>s</w:t>
      </w:r>
      <w:r w:rsidRPr="00096651">
        <w:rPr>
          <w:szCs w:val="22"/>
        </w:rPr>
        <w:t xml:space="preserve"> </w:t>
      </w:r>
      <w:r w:rsidR="00ED6CF1" w:rsidRPr="00096651">
        <w:rPr>
          <w:szCs w:val="22"/>
        </w:rPr>
        <w:t xml:space="preserve">antalgiques </w:t>
      </w:r>
      <w:r w:rsidR="00A54D81" w:rsidRPr="00096651">
        <w:rPr>
          <w:szCs w:val="22"/>
        </w:rPr>
        <w:t xml:space="preserve">de palier </w:t>
      </w:r>
      <w:r w:rsidR="00FD0660">
        <w:rPr>
          <w:szCs w:val="22"/>
        </w:rPr>
        <w:t>III</w:t>
      </w:r>
      <w:r w:rsidRPr="00096651">
        <w:rPr>
          <w:szCs w:val="22"/>
        </w:rPr>
        <w:t>.</w:t>
      </w:r>
      <w:r w:rsidR="00096651">
        <w:rPr>
          <w:szCs w:val="22"/>
        </w:rPr>
        <w:t xml:space="preserve"> </w:t>
      </w:r>
    </w:p>
    <w:p w14:paraId="1A2E5FCD" w14:textId="62E33A58" w:rsidR="00733A6A" w:rsidRPr="003166EC" w:rsidRDefault="00096651" w:rsidP="00733A6A">
      <w:pPr>
        <w:spacing w:before="60"/>
        <w:rPr>
          <w:rFonts w:cs="Arial"/>
        </w:rPr>
      </w:pPr>
      <w:r w:rsidRPr="003166EC">
        <w:rPr>
          <w:szCs w:val="22"/>
        </w:rPr>
        <w:t xml:space="preserve">Le RCP </w:t>
      </w:r>
      <w:r w:rsidR="001C03E7">
        <w:rPr>
          <w:szCs w:val="22"/>
        </w:rPr>
        <w:t xml:space="preserve">du produit </w:t>
      </w:r>
      <w:r w:rsidRPr="003166EC">
        <w:rPr>
          <w:szCs w:val="22"/>
        </w:rPr>
        <w:t xml:space="preserve">mentionne la possible conversion </w:t>
      </w:r>
      <w:r w:rsidRPr="003166EC">
        <w:rPr>
          <w:rFonts w:cs="Arial"/>
        </w:rPr>
        <w:t>de la méthadone vers d’autres opioïdes</w:t>
      </w:r>
      <w:r w:rsidR="001C03E7">
        <w:rPr>
          <w:rFonts w:cs="Arial"/>
        </w:rPr>
        <w:t>.</w:t>
      </w:r>
    </w:p>
    <w:p w14:paraId="0AEEB985" w14:textId="77777777" w:rsidR="00646583" w:rsidRDefault="00646583" w:rsidP="0093179A">
      <w:pPr>
        <w:pStyle w:val="StyleGras"/>
        <w:shd w:val="clear" w:color="auto" w:fill="auto"/>
      </w:pPr>
    </w:p>
    <w:p w14:paraId="6DA5D87B" w14:textId="77777777" w:rsidR="00FB1292" w:rsidRPr="00FB1292" w:rsidRDefault="00FB1292" w:rsidP="00714E08">
      <w:pPr>
        <w:pStyle w:val="Titre1"/>
      </w:pPr>
      <w:r w:rsidRPr="00FB1292">
        <w:t xml:space="preserve">Informations sur le médicament </w:t>
      </w:r>
      <w:r w:rsidR="00B574AE">
        <w:t xml:space="preserve">àu niveau </w:t>
      </w:r>
      <w:r w:rsidRPr="00FB1292">
        <w:t>international</w:t>
      </w:r>
    </w:p>
    <w:p w14:paraId="0E6ED6EE" w14:textId="77777777" w:rsidR="00600C2F" w:rsidRDefault="00600C2F" w:rsidP="00600C2F">
      <w:pPr>
        <w:rPr>
          <w:rFonts w:cs="Arial"/>
          <w:szCs w:val="22"/>
          <w:lang w:eastAsia="en-US"/>
        </w:rPr>
      </w:pPr>
      <w:r w:rsidRPr="00367017">
        <w:rPr>
          <w:rFonts w:cs="Arial"/>
          <w:szCs w:val="22"/>
          <w:lang w:eastAsia="en-US"/>
        </w:rPr>
        <w:t>Des AMM ont été octroyées</w:t>
      </w:r>
      <w:r w:rsidR="00956960">
        <w:rPr>
          <w:rFonts w:cs="Arial"/>
          <w:szCs w:val="22"/>
          <w:lang w:eastAsia="en-US"/>
        </w:rPr>
        <w:t xml:space="preserve"> à</w:t>
      </w:r>
      <w:r w:rsidR="00956960" w:rsidRPr="00367017">
        <w:rPr>
          <w:rFonts w:cs="Arial"/>
          <w:szCs w:val="22"/>
          <w:lang w:eastAsia="en-US"/>
        </w:rPr>
        <w:t xml:space="preserve"> la méthadone </w:t>
      </w:r>
      <w:r w:rsidR="00956960">
        <w:rPr>
          <w:rFonts w:cs="Arial"/>
          <w:szCs w:val="22"/>
          <w:lang w:eastAsia="en-US"/>
        </w:rPr>
        <w:t xml:space="preserve">en tant qu’analgésique </w:t>
      </w:r>
      <w:r w:rsidR="0046103E">
        <w:rPr>
          <w:rFonts w:cs="Arial"/>
          <w:szCs w:val="22"/>
          <w:lang w:eastAsia="en-US"/>
        </w:rPr>
        <w:t>au niveau international :</w:t>
      </w:r>
    </w:p>
    <w:p w14:paraId="4D381FD5" w14:textId="77777777" w:rsidR="0046103E" w:rsidRPr="00367017" w:rsidRDefault="0046103E" w:rsidP="00600C2F">
      <w:pPr>
        <w:rPr>
          <w:rFonts w:cs="Arial"/>
          <w:szCs w:val="22"/>
          <w:lang w:eastAsia="en-US"/>
        </w:rPr>
      </w:pPr>
    </w:p>
    <w:p w14:paraId="7D2A1122" w14:textId="19474679" w:rsidR="00367017" w:rsidRDefault="00600C2F" w:rsidP="00367017">
      <w:pPr>
        <w:pStyle w:val="Paragraphedeliste"/>
        <w:numPr>
          <w:ilvl w:val="0"/>
          <w:numId w:val="35"/>
        </w:numPr>
        <w:ind w:left="142" w:hanging="142"/>
        <w:rPr>
          <w:rFonts w:cs="Arial"/>
          <w:szCs w:val="22"/>
          <w:lang w:eastAsia="en-US"/>
        </w:rPr>
      </w:pPr>
      <w:r w:rsidRPr="0046103E">
        <w:rPr>
          <w:rFonts w:cs="Arial"/>
          <w:szCs w:val="22"/>
          <w:lang w:eastAsia="en-US"/>
        </w:rPr>
        <w:t>USA</w:t>
      </w:r>
      <w:r w:rsidR="00367017" w:rsidRPr="0046103E">
        <w:rPr>
          <w:rFonts w:cs="Arial"/>
          <w:szCs w:val="22"/>
          <w:lang w:eastAsia="en-US"/>
        </w:rPr>
        <w:t xml:space="preserve"> </w:t>
      </w:r>
      <w:r w:rsidR="0033067D" w:rsidRPr="0046103E">
        <w:rPr>
          <w:rFonts w:cs="Arial"/>
          <w:szCs w:val="22"/>
          <w:lang w:eastAsia="en-US"/>
        </w:rPr>
        <w:t>(1947)</w:t>
      </w:r>
      <w:r w:rsidR="00733A6A">
        <w:rPr>
          <w:rFonts w:cs="Arial"/>
          <w:szCs w:val="22"/>
          <w:lang w:eastAsia="en-US"/>
        </w:rPr>
        <w:t> -</w:t>
      </w:r>
      <w:r w:rsidR="00367017" w:rsidRPr="0046103E">
        <w:rPr>
          <w:rFonts w:cs="Arial"/>
          <w:szCs w:val="22"/>
          <w:lang w:eastAsia="en-US"/>
        </w:rPr>
        <w:t xml:space="preserve"> douleur sévère justifiant un traitement opioïde quotidien continu sur le long terme lorsque les alternatives ne conviennent pas</w:t>
      </w:r>
    </w:p>
    <w:p w14:paraId="1EFE1338" w14:textId="298F7F5E" w:rsidR="00600C2F" w:rsidRPr="00166E24" w:rsidRDefault="00600C2F" w:rsidP="00166E24">
      <w:pPr>
        <w:pStyle w:val="Paragraphedeliste"/>
        <w:numPr>
          <w:ilvl w:val="0"/>
          <w:numId w:val="35"/>
        </w:numPr>
        <w:ind w:left="142" w:hanging="142"/>
        <w:rPr>
          <w:rFonts w:cs="Arial"/>
          <w:szCs w:val="22"/>
          <w:lang w:eastAsia="en-US"/>
        </w:rPr>
      </w:pPr>
      <w:r w:rsidRPr="00166E24">
        <w:rPr>
          <w:rFonts w:cs="Arial"/>
          <w:szCs w:val="22"/>
          <w:lang w:eastAsia="en-US"/>
        </w:rPr>
        <w:t>Canada</w:t>
      </w:r>
      <w:r w:rsidR="00733A6A" w:rsidRPr="00166E24">
        <w:rPr>
          <w:rFonts w:cs="Arial"/>
          <w:szCs w:val="22"/>
          <w:lang w:eastAsia="en-US"/>
        </w:rPr>
        <w:t xml:space="preserve"> - </w:t>
      </w:r>
      <w:r w:rsidRPr="00166E24">
        <w:rPr>
          <w:rFonts w:cs="Arial"/>
          <w:szCs w:val="22"/>
          <w:lang w:eastAsia="en-US"/>
        </w:rPr>
        <w:t>METADOL (chlorhydrate de méthadone</w:t>
      </w:r>
      <w:r w:rsidR="00276E29" w:rsidRPr="00166E24">
        <w:rPr>
          <w:rFonts w:cs="Arial"/>
          <w:szCs w:val="22"/>
          <w:lang w:eastAsia="en-US"/>
        </w:rPr>
        <w:t>)</w:t>
      </w:r>
      <w:r w:rsidRPr="00166E24">
        <w:rPr>
          <w:rFonts w:cs="Arial"/>
          <w:szCs w:val="22"/>
          <w:lang w:eastAsia="en-US"/>
        </w:rPr>
        <w:t xml:space="preserve"> indiqué dans le soulagement de la douleur dont l’intensité justifie la prise d’un traitement opioïde quotidien continu sur le long terme</w:t>
      </w:r>
      <w:r w:rsidR="00166E24" w:rsidRPr="00166E24">
        <w:rPr>
          <w:rFonts w:cs="Arial"/>
          <w:szCs w:val="22"/>
          <w:lang w:eastAsia="en-US"/>
        </w:rPr>
        <w:t>, qui répond aux opioïdes, </w:t>
      </w:r>
      <w:r w:rsidRPr="00166E24">
        <w:rPr>
          <w:rFonts w:cs="Arial"/>
          <w:szCs w:val="22"/>
          <w:lang w:eastAsia="en-US"/>
        </w:rPr>
        <w:t>lorsque les autres traitements ne conviennent pas</w:t>
      </w:r>
    </w:p>
    <w:p w14:paraId="14341AEC" w14:textId="3FD9A46A" w:rsidR="00600C2F" w:rsidRPr="0046103E" w:rsidRDefault="00600C2F" w:rsidP="0046103E">
      <w:pPr>
        <w:ind w:left="567" w:hanging="425"/>
        <w:rPr>
          <w:rFonts w:cs="Arial"/>
          <w:szCs w:val="22"/>
          <w:lang w:eastAsia="en-US"/>
        </w:rPr>
      </w:pPr>
      <w:r w:rsidRPr="0046103E">
        <w:rPr>
          <w:rFonts w:cs="Arial"/>
          <w:szCs w:val="22"/>
          <w:lang w:eastAsia="en-US"/>
        </w:rPr>
        <w:t xml:space="preserve">METADOL n’est pas indiqué comme analgésique à prendre </w:t>
      </w:r>
      <w:r w:rsidR="00270E9B">
        <w:rPr>
          <w:rFonts w:cs="Arial"/>
          <w:szCs w:val="22"/>
          <w:lang w:eastAsia="en-US"/>
        </w:rPr>
        <w:t xml:space="preserve">selon les </w:t>
      </w:r>
      <w:r w:rsidRPr="0046103E">
        <w:rPr>
          <w:rFonts w:cs="Arial"/>
          <w:szCs w:val="22"/>
          <w:lang w:eastAsia="en-US"/>
        </w:rPr>
        <w:t>besoin</w:t>
      </w:r>
      <w:r w:rsidR="00270E9B">
        <w:rPr>
          <w:rFonts w:cs="Arial"/>
          <w:szCs w:val="22"/>
          <w:lang w:eastAsia="en-US"/>
        </w:rPr>
        <w:t>s</w:t>
      </w:r>
      <w:r w:rsidRPr="0046103E">
        <w:rPr>
          <w:rFonts w:cs="Arial"/>
          <w:szCs w:val="22"/>
          <w:lang w:eastAsia="en-US"/>
        </w:rPr>
        <w:t>.</w:t>
      </w:r>
    </w:p>
    <w:p w14:paraId="2DF97F77" w14:textId="5DEF77D8" w:rsidR="00600C2F" w:rsidRPr="006A5DBD" w:rsidRDefault="00733A6A" w:rsidP="0046103E">
      <w:pPr>
        <w:pStyle w:val="Paragraphedeliste"/>
        <w:numPr>
          <w:ilvl w:val="0"/>
          <w:numId w:val="35"/>
        </w:numPr>
        <w:ind w:left="142" w:hanging="142"/>
        <w:rPr>
          <w:rFonts w:cs="Arial"/>
          <w:szCs w:val="22"/>
          <w:lang w:eastAsia="en-US"/>
        </w:rPr>
      </w:pPr>
      <w:r w:rsidRPr="006A5DBD">
        <w:rPr>
          <w:rFonts w:cs="Arial"/>
          <w:szCs w:val="22"/>
          <w:lang w:eastAsia="en-US"/>
        </w:rPr>
        <w:t xml:space="preserve">Royaume-Uni - </w:t>
      </w:r>
      <w:r w:rsidR="00367017" w:rsidRPr="006A5DBD">
        <w:rPr>
          <w:rFonts w:cs="Arial"/>
          <w:szCs w:val="22"/>
          <w:lang w:eastAsia="en-US"/>
        </w:rPr>
        <w:t xml:space="preserve">analgésique d’utilisation orale </w:t>
      </w:r>
      <w:r w:rsidR="006A0CA9" w:rsidRPr="006A5DBD">
        <w:rPr>
          <w:rFonts w:cs="Arial"/>
          <w:szCs w:val="22"/>
          <w:lang w:eastAsia="en-US"/>
        </w:rPr>
        <w:t xml:space="preserve">des </w:t>
      </w:r>
      <w:r w:rsidR="00367017" w:rsidRPr="006A5DBD">
        <w:rPr>
          <w:rFonts w:cs="Arial"/>
          <w:szCs w:val="22"/>
          <w:lang w:eastAsia="en-US"/>
        </w:rPr>
        <w:t>douleurs modérée</w:t>
      </w:r>
      <w:r w:rsidR="005C38EC">
        <w:rPr>
          <w:rFonts w:cs="Arial"/>
          <w:szCs w:val="22"/>
          <w:lang w:eastAsia="en-US"/>
        </w:rPr>
        <w:t>s</w:t>
      </w:r>
      <w:r w:rsidR="00367017" w:rsidRPr="006A5DBD">
        <w:rPr>
          <w:rFonts w:cs="Arial"/>
          <w:szCs w:val="22"/>
          <w:lang w:eastAsia="en-US"/>
        </w:rPr>
        <w:t xml:space="preserve"> à sévère</w:t>
      </w:r>
      <w:r w:rsidR="005C38EC">
        <w:rPr>
          <w:rFonts w:cs="Arial"/>
          <w:szCs w:val="22"/>
          <w:lang w:eastAsia="en-US"/>
        </w:rPr>
        <w:t>s</w:t>
      </w:r>
    </w:p>
    <w:p w14:paraId="579BC6C1" w14:textId="78016B76" w:rsidR="00CC2128" w:rsidRPr="0046103E" w:rsidRDefault="00367017" w:rsidP="0046103E">
      <w:pPr>
        <w:pStyle w:val="Paragraphedeliste"/>
        <w:numPr>
          <w:ilvl w:val="0"/>
          <w:numId w:val="35"/>
        </w:numPr>
        <w:ind w:left="142" w:hanging="142"/>
        <w:rPr>
          <w:rFonts w:cs="Arial"/>
          <w:szCs w:val="22"/>
          <w:lang w:eastAsia="en-US"/>
        </w:rPr>
      </w:pPr>
      <w:r w:rsidRPr="0046103E">
        <w:rPr>
          <w:rFonts w:cs="Arial"/>
          <w:szCs w:val="22"/>
          <w:lang w:eastAsia="en-US"/>
        </w:rPr>
        <w:t>Italie </w:t>
      </w:r>
      <w:r w:rsidR="00733A6A">
        <w:rPr>
          <w:rFonts w:cs="Arial"/>
          <w:szCs w:val="22"/>
          <w:lang w:eastAsia="en-US"/>
        </w:rPr>
        <w:t xml:space="preserve">- </w:t>
      </w:r>
      <w:r w:rsidR="00CC2128" w:rsidRPr="0046103E">
        <w:rPr>
          <w:rFonts w:cs="Arial"/>
          <w:color w:val="222222"/>
          <w:szCs w:val="22"/>
        </w:rPr>
        <w:t>Syndromes douloureux sévères chez les patients ne répondant plus à un traitement séquentiel par des analgésiques, des anti-inflammatoires non stéroïdiens, des opioïdes faibles</w:t>
      </w:r>
    </w:p>
    <w:p w14:paraId="0E24C1BE" w14:textId="3B7BBE84" w:rsidR="00E27344" w:rsidRPr="0046103E" w:rsidRDefault="00367017" w:rsidP="0046103E">
      <w:pPr>
        <w:pStyle w:val="Paragraphedeliste"/>
        <w:numPr>
          <w:ilvl w:val="0"/>
          <w:numId w:val="35"/>
        </w:numPr>
        <w:ind w:left="142" w:hanging="142"/>
        <w:rPr>
          <w:rFonts w:cs="Arial"/>
          <w:szCs w:val="22"/>
          <w:lang w:eastAsia="en-US"/>
        </w:rPr>
      </w:pPr>
      <w:r w:rsidRPr="0046103E">
        <w:rPr>
          <w:rFonts w:cs="Arial"/>
          <w:szCs w:val="22"/>
          <w:lang w:eastAsia="en-US"/>
        </w:rPr>
        <w:t>Irlande </w:t>
      </w:r>
      <w:r w:rsidR="008539FA" w:rsidRPr="0046103E">
        <w:rPr>
          <w:rFonts w:cs="Arial"/>
          <w:szCs w:val="22"/>
          <w:lang w:eastAsia="en-US"/>
        </w:rPr>
        <w:t>(</w:t>
      </w:r>
      <w:r w:rsidR="00CC2128" w:rsidRPr="0046103E">
        <w:rPr>
          <w:rFonts w:cs="Arial"/>
          <w:szCs w:val="22"/>
          <w:lang w:eastAsia="en-US"/>
        </w:rPr>
        <w:t>1995</w:t>
      </w:r>
      <w:r w:rsidR="00CE4230" w:rsidRPr="0046103E">
        <w:rPr>
          <w:rFonts w:cs="Arial"/>
          <w:szCs w:val="22"/>
          <w:lang w:eastAsia="en-US"/>
        </w:rPr>
        <w:t>)</w:t>
      </w:r>
      <w:r w:rsidR="00C712C7">
        <w:rPr>
          <w:rFonts w:cs="Arial"/>
          <w:szCs w:val="22"/>
          <w:lang w:eastAsia="en-US"/>
        </w:rPr>
        <w:t xml:space="preserve"> - </w:t>
      </w:r>
      <w:r w:rsidR="00600C2F" w:rsidRPr="0046103E">
        <w:rPr>
          <w:rFonts w:cs="Arial"/>
          <w:szCs w:val="22"/>
          <w:lang w:eastAsia="en-US"/>
        </w:rPr>
        <w:t>douleurs sévères, notamment du cancer</w:t>
      </w:r>
    </w:p>
    <w:p w14:paraId="33295185" w14:textId="7047F123" w:rsidR="00600C2F" w:rsidRDefault="00367017" w:rsidP="0046103E">
      <w:pPr>
        <w:pStyle w:val="Paragraphedeliste"/>
        <w:numPr>
          <w:ilvl w:val="0"/>
          <w:numId w:val="35"/>
        </w:numPr>
        <w:ind w:left="142" w:hanging="142"/>
        <w:rPr>
          <w:rFonts w:cs="Arial"/>
          <w:szCs w:val="22"/>
          <w:lang w:eastAsia="en-US"/>
        </w:rPr>
      </w:pPr>
      <w:r w:rsidRPr="0046103E">
        <w:rPr>
          <w:rFonts w:cs="Arial"/>
          <w:szCs w:val="22"/>
          <w:lang w:eastAsia="en-US"/>
        </w:rPr>
        <w:t>Espagne </w:t>
      </w:r>
      <w:r w:rsidR="008539FA" w:rsidRPr="0046103E">
        <w:rPr>
          <w:rFonts w:cs="Arial"/>
          <w:szCs w:val="22"/>
          <w:lang w:eastAsia="en-US"/>
        </w:rPr>
        <w:t>(</w:t>
      </w:r>
      <w:r w:rsidR="00CC2128" w:rsidRPr="0046103E">
        <w:rPr>
          <w:rFonts w:cs="Arial"/>
          <w:szCs w:val="22"/>
          <w:lang w:eastAsia="en-US"/>
        </w:rPr>
        <w:t>1997</w:t>
      </w:r>
      <w:r w:rsidR="00CC2128" w:rsidRPr="00367017">
        <w:rPr>
          <w:rFonts w:cs="Arial"/>
          <w:szCs w:val="22"/>
          <w:lang w:eastAsia="en-US"/>
        </w:rPr>
        <w:t>)</w:t>
      </w:r>
      <w:r w:rsidR="00C712C7">
        <w:rPr>
          <w:rFonts w:cs="Arial"/>
          <w:szCs w:val="22"/>
          <w:lang w:eastAsia="en-US"/>
        </w:rPr>
        <w:t xml:space="preserve"> - </w:t>
      </w:r>
      <w:r w:rsidR="00E27344" w:rsidRPr="00367017">
        <w:rPr>
          <w:rFonts w:cs="Arial"/>
          <w:szCs w:val="22"/>
          <w:lang w:eastAsia="en-US"/>
        </w:rPr>
        <w:t>douleurs sévères</w:t>
      </w:r>
    </w:p>
    <w:p w14:paraId="53291755" w14:textId="7A4DC818" w:rsidR="0046103E" w:rsidRPr="00367017" w:rsidRDefault="00270E9B" w:rsidP="0046103E">
      <w:pPr>
        <w:pStyle w:val="Paragraphedeliste"/>
        <w:numPr>
          <w:ilvl w:val="0"/>
          <w:numId w:val="35"/>
        </w:numPr>
        <w:ind w:left="142" w:hanging="142"/>
        <w:rPr>
          <w:rFonts w:cs="Arial"/>
          <w:szCs w:val="22"/>
          <w:lang w:eastAsia="en-US"/>
        </w:rPr>
      </w:pPr>
      <w:r>
        <w:rPr>
          <w:rFonts w:cs="Arial"/>
          <w:szCs w:val="22"/>
          <w:lang w:eastAsia="en-US"/>
        </w:rPr>
        <w:t>Suisse</w:t>
      </w:r>
    </w:p>
    <w:p w14:paraId="6A7104AC" w14:textId="7537C9B1" w:rsidR="00600C2F" w:rsidRDefault="00600C2F"/>
    <w:p w14:paraId="7F64A3B9" w14:textId="46D59028" w:rsidR="00914350" w:rsidRDefault="00914350" w:rsidP="00914350">
      <w:r>
        <w:t>On ne dispose pas de</w:t>
      </w:r>
      <w:r w:rsidR="003166EC">
        <w:t>s</w:t>
      </w:r>
      <w:r>
        <w:t xml:space="preserve"> données sur la prise en charge de la méthadone à l’international.</w:t>
      </w:r>
    </w:p>
    <w:p w14:paraId="784178EB" w14:textId="77777777" w:rsidR="00914350" w:rsidRDefault="00914350"/>
    <w:p w14:paraId="0CCD30CD" w14:textId="77777777" w:rsidR="009C68E1" w:rsidRPr="009C68E1" w:rsidRDefault="009C68E1" w:rsidP="00EB0B9F">
      <w:pPr>
        <w:pStyle w:val="Titre1"/>
      </w:pPr>
      <w:r w:rsidRPr="009C68E1">
        <w:t>Analyse des données disponibles</w:t>
      </w:r>
    </w:p>
    <w:p w14:paraId="683545D1" w14:textId="5779AB9D" w:rsidR="00E858B6" w:rsidRDefault="00B532A4" w:rsidP="00E858B6">
      <w:r>
        <w:t>Le dossier d’enregistrement du produit dans l’indication comportait d</w:t>
      </w:r>
      <w:r w:rsidR="00E858B6">
        <w:t>ix études évaluant le traitement par méthadone en première ligne ; cinq de ces études, dont l’étude Bruera (2004)</w:t>
      </w:r>
      <w:r w:rsidR="005C38EC">
        <w:t>,</w:t>
      </w:r>
      <w:r w:rsidR="00E858B6">
        <w:t xml:space="preserve"> ont été retenues dans la</w:t>
      </w:r>
      <w:r w:rsidR="00AC309D">
        <w:t xml:space="preserve"> revue Cochrane relative à l’efficacité et la tolérance de la méthadone dans la douleur d’origine cancéreuse,</w:t>
      </w:r>
      <w:r w:rsidR="00E858B6">
        <w:t xml:space="preserve"> </w:t>
      </w:r>
      <w:r w:rsidR="00AC309D">
        <w:t>publiée en 2017. Cette revue systématique, issue d’une recherche bibliographique interne, sera brièvement décrite.</w:t>
      </w:r>
    </w:p>
    <w:p w14:paraId="62C8BE7C" w14:textId="77777777" w:rsidR="00AC309D" w:rsidRPr="00537F80" w:rsidRDefault="00AC309D" w:rsidP="00E858B6"/>
    <w:p w14:paraId="5B355E37" w14:textId="3482BEEC" w:rsidR="00B3370B" w:rsidRPr="00E858B6" w:rsidRDefault="005374F3" w:rsidP="009D1005">
      <w:pPr>
        <w:rPr>
          <w:rFonts w:cs="Arial"/>
        </w:rPr>
      </w:pPr>
      <w:r>
        <w:t xml:space="preserve">Le dossier comportait </w:t>
      </w:r>
      <w:r w:rsidR="00C23908">
        <w:t xml:space="preserve">également </w:t>
      </w:r>
      <w:r w:rsidR="00A45D3D">
        <w:t>16</w:t>
      </w:r>
      <w:r>
        <w:t xml:space="preserve"> études pro</w:t>
      </w:r>
      <w:r w:rsidR="00A45D3D">
        <w:t>spe</w:t>
      </w:r>
      <w:r>
        <w:t xml:space="preserve">ctives </w:t>
      </w:r>
      <w:r w:rsidR="00A45D3D">
        <w:t>et 5 études rétrospectives</w:t>
      </w:r>
      <w:r w:rsidR="00E12211">
        <w:t>,</w:t>
      </w:r>
      <w:r w:rsidR="00A45D3D">
        <w:t xml:space="preserve"> </w:t>
      </w:r>
      <w:r>
        <w:t>non compa</w:t>
      </w:r>
      <w:r w:rsidR="00A45D3D">
        <w:t>r</w:t>
      </w:r>
      <w:r>
        <w:t>atives</w:t>
      </w:r>
      <w:r w:rsidR="00A45D3D">
        <w:t>,</w:t>
      </w:r>
      <w:r>
        <w:t xml:space="preserve"> </w:t>
      </w:r>
      <w:r w:rsidR="00A45D3D">
        <w:t xml:space="preserve">publiées entre 1995 et 2013, évaluant l’utilisation de la méthadone dans le cadre d’une rotation </w:t>
      </w:r>
      <w:r w:rsidR="00A92292">
        <w:t xml:space="preserve">d’opioïde. </w:t>
      </w:r>
      <w:r w:rsidR="00B3370B" w:rsidRPr="00E858B6">
        <w:rPr>
          <w:rFonts w:cs="Arial"/>
        </w:rPr>
        <w:t>La plupart des études évaluaient l’instauration de la méthadone après arrêt de l’opioïde antérieur</w:t>
      </w:r>
      <w:r w:rsidR="009D1005">
        <w:rPr>
          <w:rFonts w:cs="Arial"/>
        </w:rPr>
        <w:t>,</w:t>
      </w:r>
      <w:r w:rsidR="00B3370B" w:rsidRPr="00E858B6">
        <w:rPr>
          <w:rFonts w:cs="Arial"/>
        </w:rPr>
        <w:t xml:space="preserve"> sans chevauchement, le plus souvent avec une </w:t>
      </w:r>
      <w:r w:rsidR="009D1005">
        <w:rPr>
          <w:rFonts w:cs="Arial"/>
        </w:rPr>
        <w:t xml:space="preserve">dose </w:t>
      </w:r>
      <w:r w:rsidR="00450AD5">
        <w:rPr>
          <w:rFonts w:cs="Arial"/>
        </w:rPr>
        <w:t>fractionnée</w:t>
      </w:r>
      <w:r w:rsidR="009D1005">
        <w:rPr>
          <w:rFonts w:cs="Arial"/>
        </w:rPr>
        <w:t xml:space="preserve"> </w:t>
      </w:r>
      <w:r w:rsidR="00B3370B" w:rsidRPr="00E858B6">
        <w:rPr>
          <w:rFonts w:cs="Arial"/>
        </w:rPr>
        <w:t xml:space="preserve">en trois prises par jour </w:t>
      </w:r>
      <w:r w:rsidR="009D1005">
        <w:rPr>
          <w:rFonts w:cs="Arial"/>
        </w:rPr>
        <w:t>et</w:t>
      </w:r>
      <w:r w:rsidR="00B3370B" w:rsidRPr="00E858B6">
        <w:rPr>
          <w:rFonts w:cs="Arial"/>
        </w:rPr>
        <w:t xml:space="preserve"> une dose de secours de 1/10 à 1/6 de la dose des 24 heures</w:t>
      </w:r>
      <w:r w:rsidR="00B3370B" w:rsidRPr="008218DD">
        <w:rPr>
          <w:rFonts w:cs="Arial"/>
        </w:rPr>
        <w:t>. Dans trois autres études, réalisées</w:t>
      </w:r>
      <w:r w:rsidR="00B3370B" w:rsidRPr="00E858B6">
        <w:rPr>
          <w:rFonts w:cs="Arial"/>
        </w:rPr>
        <w:t xml:space="preserve"> avec un relai immédiat, la méthadone </w:t>
      </w:r>
      <w:r w:rsidR="00914350">
        <w:rPr>
          <w:rFonts w:cs="Arial"/>
        </w:rPr>
        <w:t>était</w:t>
      </w:r>
      <w:r w:rsidR="00B3370B" w:rsidRPr="00E858B6">
        <w:rPr>
          <w:rFonts w:cs="Arial"/>
        </w:rPr>
        <w:t xml:space="preserve"> administrée à la demande et non pas à heure fixe</w:t>
      </w:r>
      <w:r w:rsidR="00B3370B">
        <w:rPr>
          <w:rFonts w:cs="Arial"/>
        </w:rPr>
        <w:t> ;</w:t>
      </w:r>
      <w:r w:rsidR="00B3370B" w:rsidRPr="00E858B6">
        <w:rPr>
          <w:rFonts w:cs="Arial"/>
        </w:rPr>
        <w:t xml:space="preserve"> un ratio de conversion Morphine : Méthadone de 10 : 1 à 12 : 1 </w:t>
      </w:r>
      <w:r w:rsidR="00B3370B">
        <w:rPr>
          <w:rFonts w:cs="Arial"/>
        </w:rPr>
        <w:t xml:space="preserve">était </w:t>
      </w:r>
      <w:r w:rsidR="00B3370B" w:rsidRPr="00E858B6">
        <w:rPr>
          <w:rFonts w:cs="Arial"/>
        </w:rPr>
        <w:t xml:space="preserve">utilisé sans dépasser une prise unitaire de 30 mg. </w:t>
      </w:r>
      <w:r w:rsidR="00B3370B">
        <w:rPr>
          <w:rFonts w:cs="Arial"/>
        </w:rPr>
        <w:t>L</w:t>
      </w:r>
      <w:r w:rsidR="00B3370B" w:rsidRPr="00E858B6">
        <w:rPr>
          <w:rFonts w:cs="Arial"/>
        </w:rPr>
        <w:t xml:space="preserve">orsqu’un équilibre </w:t>
      </w:r>
      <w:r w:rsidR="00B3370B">
        <w:rPr>
          <w:rFonts w:cs="Arial"/>
        </w:rPr>
        <w:t xml:space="preserve">était </w:t>
      </w:r>
      <w:r w:rsidR="00B3370B" w:rsidRPr="00E858B6">
        <w:rPr>
          <w:rFonts w:cs="Arial"/>
        </w:rPr>
        <w:t xml:space="preserve">atteint, la dose des 24 heures </w:t>
      </w:r>
      <w:r w:rsidR="00B3370B">
        <w:rPr>
          <w:rFonts w:cs="Arial"/>
        </w:rPr>
        <w:t xml:space="preserve">était </w:t>
      </w:r>
      <w:r w:rsidR="00B3370B" w:rsidRPr="00E858B6">
        <w:rPr>
          <w:rFonts w:cs="Arial"/>
        </w:rPr>
        <w:t>répartie en trois prises par jour.</w:t>
      </w:r>
      <w:r w:rsidR="00B3370B" w:rsidRPr="00E858B6">
        <w:rPr>
          <w:rFonts w:cs="Arial"/>
          <w:color w:val="FF0000"/>
        </w:rPr>
        <w:t xml:space="preserve"> </w:t>
      </w:r>
      <w:r w:rsidR="00B3370B" w:rsidRPr="00E858B6">
        <w:rPr>
          <w:rFonts w:cs="Arial"/>
        </w:rPr>
        <w:t>Seules deu</w:t>
      </w:r>
      <w:r w:rsidR="00B3370B">
        <w:rPr>
          <w:rFonts w:cs="Arial"/>
        </w:rPr>
        <w:t xml:space="preserve">x études </w:t>
      </w:r>
      <w:r w:rsidR="00AC309D">
        <w:rPr>
          <w:rFonts w:cs="Arial"/>
        </w:rPr>
        <w:t>évaluaient</w:t>
      </w:r>
      <w:r w:rsidR="00B3370B" w:rsidRPr="00E858B6">
        <w:rPr>
          <w:rFonts w:cs="Arial"/>
        </w:rPr>
        <w:t xml:space="preserve"> un relai avec un chevauchement du médicament antérieur à dose progressivement réduite sur 3 jours. </w:t>
      </w:r>
    </w:p>
    <w:p w14:paraId="296C5A5E" w14:textId="58E750D8" w:rsidR="00B3370B" w:rsidRPr="00E858B6" w:rsidRDefault="00B3370B" w:rsidP="00B3370B">
      <w:pPr>
        <w:autoSpaceDE w:val="0"/>
        <w:autoSpaceDN w:val="0"/>
        <w:adjustRightInd w:val="0"/>
        <w:rPr>
          <w:rFonts w:cs="Arial"/>
        </w:rPr>
      </w:pPr>
      <w:r w:rsidRPr="00E858B6">
        <w:rPr>
          <w:rFonts w:cs="Arial"/>
        </w:rPr>
        <w:t>Enfin, une étude portant sur 42 patients, publ</w:t>
      </w:r>
      <w:r>
        <w:rPr>
          <w:rFonts w:cs="Arial"/>
        </w:rPr>
        <w:t>iée par Moksnes en 2011</w:t>
      </w:r>
      <w:r w:rsidR="005C38EC">
        <w:rPr>
          <w:rFonts w:cs="Arial"/>
        </w:rPr>
        <w:t>,</w:t>
      </w:r>
      <w:r w:rsidRPr="00E858B6">
        <w:rPr>
          <w:rFonts w:cs="Arial"/>
        </w:rPr>
        <w:t xml:space="preserve"> </w:t>
      </w:r>
      <w:r>
        <w:rPr>
          <w:rFonts w:cs="Arial"/>
        </w:rPr>
        <w:t>a comparé</w:t>
      </w:r>
      <w:r w:rsidRPr="00E858B6">
        <w:rPr>
          <w:rFonts w:cs="Arial"/>
        </w:rPr>
        <w:t xml:space="preserve"> le relai avec chevauchement sur trois jours versus le relai immédiat (arrêt de l’opioïde antérieur et administration de méthadone toutes les 8</w:t>
      </w:r>
      <w:r w:rsidR="00450AD5">
        <w:rPr>
          <w:rFonts w:cs="Arial"/>
        </w:rPr>
        <w:t xml:space="preserve"> </w:t>
      </w:r>
      <w:r w:rsidRPr="00E858B6">
        <w:rPr>
          <w:rFonts w:cs="Arial"/>
        </w:rPr>
        <w:t xml:space="preserve">h avec </w:t>
      </w:r>
      <w:r w:rsidR="00450AD5">
        <w:rPr>
          <w:rFonts w:cs="Arial"/>
        </w:rPr>
        <w:t xml:space="preserve">une </w:t>
      </w:r>
      <w:r w:rsidRPr="00E858B6">
        <w:rPr>
          <w:rFonts w:cs="Arial"/>
        </w:rPr>
        <w:t xml:space="preserve">dose de secours de 1/6 de la dose journalière). </w:t>
      </w:r>
    </w:p>
    <w:p w14:paraId="3CD3A1B0" w14:textId="16E33436" w:rsidR="00B3370B" w:rsidRDefault="00B3370B" w:rsidP="00B3370B">
      <w:pPr>
        <w:autoSpaceDE w:val="0"/>
        <w:autoSpaceDN w:val="0"/>
        <w:adjustRightInd w:val="0"/>
        <w:rPr>
          <w:rFonts w:cs="Arial"/>
        </w:rPr>
      </w:pPr>
      <w:r w:rsidRPr="00E858B6">
        <w:rPr>
          <w:rFonts w:cs="Arial"/>
        </w:rPr>
        <w:t xml:space="preserve">Seules trois études </w:t>
      </w:r>
      <w:r>
        <w:rPr>
          <w:rFonts w:cs="Arial"/>
        </w:rPr>
        <w:t>ont évalué</w:t>
      </w:r>
      <w:r w:rsidRPr="00E858B6">
        <w:rPr>
          <w:rFonts w:cs="Arial"/>
        </w:rPr>
        <w:t xml:space="preserve"> le passage de la méthadone vers un </w:t>
      </w:r>
      <w:r w:rsidR="00AC309D">
        <w:rPr>
          <w:rFonts w:cs="Arial"/>
        </w:rPr>
        <w:t xml:space="preserve">autre </w:t>
      </w:r>
      <w:r w:rsidRPr="00E858B6">
        <w:rPr>
          <w:rFonts w:cs="Arial"/>
        </w:rPr>
        <w:t>opioïde.</w:t>
      </w:r>
    </w:p>
    <w:p w14:paraId="55545B3E" w14:textId="32AF0031" w:rsidR="008218DD" w:rsidRDefault="008218DD" w:rsidP="00B3370B">
      <w:pPr>
        <w:autoSpaceDE w:val="0"/>
        <w:autoSpaceDN w:val="0"/>
        <w:adjustRightInd w:val="0"/>
        <w:rPr>
          <w:rFonts w:cs="Arial"/>
        </w:rPr>
      </w:pPr>
      <w:r>
        <w:t xml:space="preserve">Malgré l’absence de </w:t>
      </w:r>
      <w:r w:rsidR="00914350">
        <w:t>groupe</w:t>
      </w:r>
      <w:r>
        <w:t xml:space="preserve"> comparateur, la constance et la taille de l’effet </w:t>
      </w:r>
      <w:r w:rsidR="00C53131">
        <w:t xml:space="preserve">antalgique </w:t>
      </w:r>
      <w:r>
        <w:t xml:space="preserve">rapporté </w:t>
      </w:r>
      <w:r w:rsidR="006B3BE4">
        <w:t xml:space="preserve">dans ces études </w:t>
      </w:r>
      <w:r w:rsidR="00586B04">
        <w:t>plaident en faveur</w:t>
      </w:r>
      <w:r w:rsidR="00C53131">
        <w:t xml:space="preserve"> de l’</w:t>
      </w:r>
      <w:r>
        <w:t>efficacité de la méthadone.</w:t>
      </w:r>
    </w:p>
    <w:p w14:paraId="444CF77E" w14:textId="77777777" w:rsidR="000A44EB" w:rsidRDefault="000A44EB" w:rsidP="002F7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 w:val="18"/>
          <w:szCs w:val="18"/>
        </w:rPr>
      </w:pPr>
    </w:p>
    <w:p w14:paraId="53AA7DC5" w14:textId="16D7E82C" w:rsidR="001D4D92" w:rsidRDefault="00801899" w:rsidP="002F7BDE">
      <w:r>
        <w:rPr>
          <w:rFonts w:cs="Arial"/>
          <w:bCs/>
        </w:rPr>
        <w:t xml:space="preserve">A l’appui de sa demande d’inscription </w:t>
      </w:r>
      <w:r w:rsidR="002C6019">
        <w:t>sécurité sociale et collectivités</w:t>
      </w:r>
      <w:r w:rsidR="002C6019">
        <w:rPr>
          <w:rFonts w:cs="Arial"/>
          <w:bCs/>
        </w:rPr>
        <w:t xml:space="preserve"> </w:t>
      </w:r>
      <w:r>
        <w:rPr>
          <w:rFonts w:cs="Arial"/>
          <w:bCs/>
        </w:rPr>
        <w:t>le laboratoire a fourni les résultats d</w:t>
      </w:r>
      <w:r w:rsidR="001D4D92">
        <w:rPr>
          <w:rFonts w:cs="Arial"/>
          <w:bCs/>
        </w:rPr>
        <w:t xml:space="preserve">’une </w:t>
      </w:r>
      <w:r>
        <w:rPr>
          <w:rFonts w:cs="Arial"/>
          <w:bCs/>
        </w:rPr>
        <w:t xml:space="preserve">étude </w:t>
      </w:r>
      <w:r w:rsidR="004A3891">
        <w:t>de supériorité</w:t>
      </w:r>
      <w:r w:rsidR="009F66B1">
        <w:t xml:space="preserve">, </w:t>
      </w:r>
      <w:r w:rsidR="009F66B1" w:rsidRPr="00646B5A">
        <w:t>randomisée,</w:t>
      </w:r>
      <w:r w:rsidR="004A3891" w:rsidRPr="00646B5A">
        <w:t xml:space="preserve"> ouverte</w:t>
      </w:r>
      <w:r w:rsidR="00F44329" w:rsidRPr="00646B5A">
        <w:rPr>
          <w:rStyle w:val="Appelnotedebasdep"/>
        </w:rPr>
        <w:footnoteReference w:id="10"/>
      </w:r>
      <w:r w:rsidR="00974FDE" w:rsidRPr="00646B5A">
        <w:t>,</w:t>
      </w:r>
      <w:r w:rsidRPr="00646B5A">
        <w:t xml:space="preserve"> </w:t>
      </w:r>
      <w:r w:rsidR="005C5600" w:rsidRPr="00646B5A">
        <w:t xml:space="preserve">réalisée en France, </w:t>
      </w:r>
      <w:r w:rsidR="004A3891" w:rsidRPr="00646B5A">
        <w:t xml:space="preserve">ayant </w:t>
      </w:r>
      <w:r w:rsidRPr="00646B5A">
        <w:t>compa</w:t>
      </w:r>
      <w:r w:rsidR="009F66B1" w:rsidRPr="00646B5A">
        <w:t xml:space="preserve">ré deux </w:t>
      </w:r>
      <w:r w:rsidR="00A75A62" w:rsidRPr="00646B5A">
        <w:t>protocoles</w:t>
      </w:r>
      <w:r w:rsidR="009F66B1" w:rsidRPr="00646B5A">
        <w:t xml:space="preserve"> d</w:t>
      </w:r>
      <w:r w:rsidR="00A75A62" w:rsidRPr="00646B5A">
        <w:t>’instauration</w:t>
      </w:r>
      <w:r w:rsidR="009F66B1" w:rsidRPr="00646B5A">
        <w:t xml:space="preserve"> d</w:t>
      </w:r>
      <w:r w:rsidR="00194303">
        <w:t>’un</w:t>
      </w:r>
      <w:r w:rsidR="009F66B1" w:rsidRPr="00646B5A">
        <w:t xml:space="preserve"> traitement par</w:t>
      </w:r>
      <w:r w:rsidR="009B3DC9">
        <w:t xml:space="preserve"> ZORYON</w:t>
      </w:r>
      <w:r w:rsidR="001D4D92">
        <w:t xml:space="preserve"> dans le cadre d’une rotation d’opioïde</w:t>
      </w:r>
      <w:r w:rsidR="00FD074D">
        <w:t> :</w:t>
      </w:r>
      <w:r w:rsidR="001D4D92">
        <w:t xml:space="preserve"> </w:t>
      </w:r>
    </w:p>
    <w:p w14:paraId="390C1D2B" w14:textId="59C64784" w:rsidR="00FD074D" w:rsidRPr="00646B5A" w:rsidRDefault="00FD074D" w:rsidP="00FD074D">
      <w:pPr>
        <w:pStyle w:val="Paragraphedeliste"/>
        <w:numPr>
          <w:ilvl w:val="0"/>
          <w:numId w:val="7"/>
        </w:numPr>
        <w:ind w:left="142" w:hanging="141"/>
      </w:pPr>
      <w:r>
        <w:rPr>
          <w:szCs w:val="22"/>
        </w:rPr>
        <w:t>posologie</w:t>
      </w:r>
      <w:r w:rsidRPr="00646B5A">
        <w:rPr>
          <w:szCs w:val="22"/>
        </w:rPr>
        <w:t xml:space="preserve"> autocontrôl</w:t>
      </w:r>
      <w:r>
        <w:rPr>
          <w:szCs w:val="22"/>
        </w:rPr>
        <w:t>ée</w:t>
      </w:r>
      <w:r w:rsidRPr="00646B5A">
        <w:rPr>
          <w:szCs w:val="22"/>
        </w:rPr>
        <w:t xml:space="preserve"> par le patient sans </w:t>
      </w:r>
      <w:r>
        <w:rPr>
          <w:szCs w:val="22"/>
        </w:rPr>
        <w:t xml:space="preserve">chevauchement avec </w:t>
      </w:r>
      <w:r w:rsidRPr="00646B5A">
        <w:rPr>
          <w:szCs w:val="22"/>
        </w:rPr>
        <w:t xml:space="preserve">l’opioïde utilisé </w:t>
      </w:r>
      <w:r>
        <w:rPr>
          <w:szCs w:val="22"/>
        </w:rPr>
        <w:t>avant inclusion</w:t>
      </w:r>
    </w:p>
    <w:p w14:paraId="5D3C9747" w14:textId="0DBA8962" w:rsidR="000D5600" w:rsidRDefault="00FD074D" w:rsidP="006B3BE4">
      <w:pPr>
        <w:pStyle w:val="Paragraphedeliste"/>
        <w:numPr>
          <w:ilvl w:val="0"/>
          <w:numId w:val="7"/>
        </w:numPr>
        <w:ind w:left="142" w:hanging="141"/>
      </w:pPr>
      <w:r>
        <w:rPr>
          <w:szCs w:val="22"/>
        </w:rPr>
        <w:t>posologie</w:t>
      </w:r>
      <w:r w:rsidRPr="00646B5A">
        <w:rPr>
          <w:szCs w:val="22"/>
        </w:rPr>
        <w:t xml:space="preserve"> fixe avec chevauchement avec le traitement opioïde antérieur</w:t>
      </w:r>
      <w:r>
        <w:rPr>
          <w:szCs w:val="22"/>
        </w:rPr>
        <w:t xml:space="preserve"> (changement progressif)</w:t>
      </w:r>
      <w:r>
        <w:t>.</w:t>
      </w:r>
    </w:p>
    <w:p w14:paraId="44ECFF6C" w14:textId="77777777" w:rsidR="006B3BE4" w:rsidRPr="00646B5A" w:rsidRDefault="006B3BE4" w:rsidP="006B3BE4">
      <w:pPr>
        <w:ind w:left="1"/>
      </w:pPr>
    </w:p>
    <w:p w14:paraId="14210992" w14:textId="77777777" w:rsidR="00537F80" w:rsidRDefault="009C68E1" w:rsidP="00F44329">
      <w:pPr>
        <w:pStyle w:val="Titre2"/>
        <w:tabs>
          <w:tab w:val="clear" w:pos="576"/>
        </w:tabs>
        <w:ind w:left="578" w:hanging="578"/>
      </w:pPr>
      <w:r w:rsidRPr="00C13E96">
        <w:t>Efficacité</w:t>
      </w:r>
    </w:p>
    <w:p w14:paraId="5278D22C" w14:textId="77777777" w:rsidR="009654F2" w:rsidRDefault="009654F2" w:rsidP="009654F2">
      <w:pPr>
        <w:pStyle w:val="Titre3"/>
      </w:pPr>
      <w:r w:rsidRPr="00A63D9C">
        <w:t>Etude EQUIMETH2</w:t>
      </w:r>
    </w:p>
    <w:tbl>
      <w:tblPr>
        <w:tblW w:w="9900"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287"/>
        <w:gridCol w:w="7613"/>
      </w:tblGrid>
      <w:tr w:rsidR="00537F80" w:rsidRPr="00F62D10" w14:paraId="5D6F9BB0" w14:textId="77777777" w:rsidTr="00EA50C2">
        <w:trPr>
          <w:trHeight w:val="755"/>
        </w:trPr>
        <w:tc>
          <w:tcPr>
            <w:tcW w:w="2287" w:type="dxa"/>
            <w:shd w:val="clear" w:color="auto" w:fill="004890"/>
            <w:vAlign w:val="center"/>
          </w:tcPr>
          <w:p w14:paraId="75D5403A" w14:textId="77777777" w:rsidR="00537F80" w:rsidRPr="00F62D10" w:rsidRDefault="00537F80" w:rsidP="00EA50C2">
            <w:pPr>
              <w:jc w:val="left"/>
              <w:rPr>
                <w:rFonts w:cs="Arial"/>
                <w:b/>
                <w:color w:val="C0C0C0"/>
                <w:sz w:val="18"/>
                <w:szCs w:val="18"/>
              </w:rPr>
            </w:pPr>
          </w:p>
        </w:tc>
        <w:tc>
          <w:tcPr>
            <w:tcW w:w="7613" w:type="dxa"/>
            <w:shd w:val="clear" w:color="auto" w:fill="004890"/>
            <w:vAlign w:val="center"/>
          </w:tcPr>
          <w:p w14:paraId="110DE750" w14:textId="77777777" w:rsidR="00537F80" w:rsidRPr="00EA50C2" w:rsidRDefault="00F44329" w:rsidP="00F44329">
            <w:pPr>
              <w:autoSpaceDE w:val="0"/>
              <w:autoSpaceDN w:val="0"/>
              <w:adjustRightInd w:val="0"/>
              <w:spacing w:line="240" w:lineRule="atLeast"/>
              <w:rPr>
                <w:rFonts w:cs="Arial"/>
                <w:b/>
                <w:bCs/>
                <w:color w:val="FFFFFF" w:themeColor="background1"/>
                <w:sz w:val="20"/>
                <w:szCs w:val="18"/>
              </w:rPr>
            </w:pPr>
            <w:r w:rsidRPr="00EA50C2">
              <w:rPr>
                <w:rFonts w:cs="Arial"/>
                <w:b/>
                <w:bCs/>
                <w:color w:val="FFFFFF" w:themeColor="background1"/>
                <w:sz w:val="20"/>
                <w:szCs w:val="18"/>
              </w:rPr>
              <w:t xml:space="preserve">Etude </w:t>
            </w:r>
            <w:r w:rsidR="00537F80" w:rsidRPr="00EA50C2">
              <w:rPr>
                <w:rFonts w:cs="Arial"/>
                <w:b/>
                <w:bCs/>
                <w:color w:val="FFFFFF" w:themeColor="background1"/>
                <w:sz w:val="20"/>
                <w:szCs w:val="18"/>
              </w:rPr>
              <w:t>EQUIMETH2</w:t>
            </w:r>
          </w:p>
        </w:tc>
      </w:tr>
      <w:tr w:rsidR="00537F80" w:rsidRPr="00F62D10" w14:paraId="0C35B5B4" w14:textId="77777777" w:rsidTr="00EA50C2">
        <w:trPr>
          <w:trHeight w:val="430"/>
        </w:trPr>
        <w:tc>
          <w:tcPr>
            <w:tcW w:w="2287" w:type="dxa"/>
            <w:shd w:val="clear" w:color="auto" w:fill="F3F3F3"/>
            <w:vAlign w:val="center"/>
          </w:tcPr>
          <w:p w14:paraId="1DB48E8C" w14:textId="77777777" w:rsidR="00537F80" w:rsidRPr="00F62D10" w:rsidRDefault="00537F80" w:rsidP="00EA50C2">
            <w:pPr>
              <w:jc w:val="left"/>
              <w:rPr>
                <w:rFonts w:cs="Arial"/>
                <w:b/>
                <w:sz w:val="18"/>
                <w:szCs w:val="18"/>
              </w:rPr>
            </w:pPr>
            <w:r w:rsidRPr="00F62D10">
              <w:rPr>
                <w:rFonts w:cs="Arial"/>
                <w:b/>
                <w:sz w:val="18"/>
                <w:szCs w:val="18"/>
              </w:rPr>
              <w:t>Type d’</w:t>
            </w:r>
            <w:r w:rsidR="00F44329" w:rsidRPr="00F62D10">
              <w:rPr>
                <w:rFonts w:cs="Arial"/>
                <w:b/>
                <w:sz w:val="18"/>
                <w:szCs w:val="18"/>
              </w:rPr>
              <w:t>étude</w:t>
            </w:r>
          </w:p>
        </w:tc>
        <w:tc>
          <w:tcPr>
            <w:tcW w:w="7613" w:type="dxa"/>
            <w:shd w:val="clear" w:color="auto" w:fill="auto"/>
            <w:vAlign w:val="center"/>
          </w:tcPr>
          <w:p w14:paraId="32CD6202" w14:textId="77777777" w:rsidR="00537F80" w:rsidRPr="00F62D10" w:rsidRDefault="00C76951" w:rsidP="00162AAD">
            <w:pPr>
              <w:rPr>
                <w:rFonts w:cs="Arial"/>
                <w:sz w:val="18"/>
                <w:szCs w:val="18"/>
              </w:rPr>
            </w:pPr>
            <w:r w:rsidRPr="002B4943">
              <w:rPr>
                <w:rFonts w:cs="Arial"/>
                <w:sz w:val="18"/>
                <w:szCs w:val="18"/>
              </w:rPr>
              <w:t xml:space="preserve">Etude </w:t>
            </w:r>
            <w:r w:rsidR="00F44329" w:rsidRPr="002B4943">
              <w:rPr>
                <w:rFonts w:cs="Arial"/>
                <w:sz w:val="18"/>
                <w:szCs w:val="18"/>
              </w:rPr>
              <w:t>de supériorité,</w:t>
            </w:r>
            <w:r w:rsidR="00F44329" w:rsidRPr="00F62D10">
              <w:rPr>
                <w:rFonts w:cs="Arial"/>
                <w:sz w:val="18"/>
                <w:szCs w:val="18"/>
              </w:rPr>
              <w:t xml:space="preserve"> </w:t>
            </w:r>
            <w:r w:rsidR="00537F80" w:rsidRPr="00F62D10">
              <w:rPr>
                <w:rFonts w:cs="Arial"/>
                <w:sz w:val="18"/>
                <w:szCs w:val="18"/>
              </w:rPr>
              <w:t>randomisé</w:t>
            </w:r>
            <w:r w:rsidR="00F44329" w:rsidRPr="00F62D10">
              <w:rPr>
                <w:rFonts w:cs="Arial"/>
                <w:sz w:val="18"/>
                <w:szCs w:val="18"/>
              </w:rPr>
              <w:t>e</w:t>
            </w:r>
            <w:r w:rsidR="00F62D10">
              <w:rPr>
                <w:rFonts w:cs="Arial"/>
                <w:sz w:val="18"/>
                <w:szCs w:val="18"/>
              </w:rPr>
              <w:t>,</w:t>
            </w:r>
            <w:r w:rsidR="00537F80" w:rsidRPr="00F62D10">
              <w:rPr>
                <w:rFonts w:cs="Arial"/>
                <w:sz w:val="18"/>
                <w:szCs w:val="18"/>
              </w:rPr>
              <w:t xml:space="preserve"> </w:t>
            </w:r>
            <w:r>
              <w:rPr>
                <w:rFonts w:cs="Arial"/>
                <w:sz w:val="18"/>
                <w:szCs w:val="18"/>
              </w:rPr>
              <w:t xml:space="preserve">réalisée en </w:t>
            </w:r>
            <w:r w:rsidR="00537F80" w:rsidRPr="00F62D10">
              <w:rPr>
                <w:rFonts w:cs="Arial"/>
                <w:sz w:val="18"/>
                <w:szCs w:val="18"/>
              </w:rPr>
              <w:t xml:space="preserve">ouvert </w:t>
            </w:r>
          </w:p>
        </w:tc>
      </w:tr>
      <w:tr w:rsidR="00537F80" w:rsidRPr="00F62D10" w14:paraId="6A36DF92" w14:textId="77777777" w:rsidTr="00EA50C2">
        <w:trPr>
          <w:trHeight w:val="430"/>
        </w:trPr>
        <w:tc>
          <w:tcPr>
            <w:tcW w:w="2287" w:type="dxa"/>
            <w:shd w:val="clear" w:color="auto" w:fill="F3F3F3"/>
            <w:vAlign w:val="center"/>
          </w:tcPr>
          <w:p w14:paraId="03887F1B" w14:textId="77777777" w:rsidR="00537F80" w:rsidRPr="00F62D10" w:rsidRDefault="00537F80" w:rsidP="00EA50C2">
            <w:pPr>
              <w:jc w:val="left"/>
              <w:rPr>
                <w:rFonts w:cs="Arial"/>
                <w:b/>
                <w:sz w:val="18"/>
                <w:szCs w:val="18"/>
              </w:rPr>
            </w:pPr>
            <w:r w:rsidRPr="00F62D10">
              <w:rPr>
                <w:rFonts w:cs="Arial"/>
                <w:b/>
                <w:sz w:val="18"/>
                <w:szCs w:val="18"/>
              </w:rPr>
              <w:t xml:space="preserve">Date </w:t>
            </w:r>
            <w:r w:rsidR="00F44329" w:rsidRPr="00F62D10">
              <w:rPr>
                <w:rFonts w:cs="Arial"/>
                <w:b/>
                <w:sz w:val="18"/>
                <w:szCs w:val="18"/>
              </w:rPr>
              <w:t>de réalisation</w:t>
            </w:r>
            <w:r w:rsidR="005C5600" w:rsidRPr="00F62D10">
              <w:rPr>
                <w:rFonts w:cs="Arial"/>
                <w:b/>
                <w:sz w:val="18"/>
                <w:szCs w:val="18"/>
              </w:rPr>
              <w:t xml:space="preserve"> et durée</w:t>
            </w:r>
            <w:r w:rsidRPr="00F62D10">
              <w:rPr>
                <w:rFonts w:cs="Arial"/>
                <w:b/>
                <w:sz w:val="18"/>
                <w:szCs w:val="18"/>
              </w:rPr>
              <w:t xml:space="preserve"> </w:t>
            </w:r>
          </w:p>
        </w:tc>
        <w:tc>
          <w:tcPr>
            <w:tcW w:w="7613" w:type="dxa"/>
            <w:vAlign w:val="center"/>
          </w:tcPr>
          <w:p w14:paraId="2680D194" w14:textId="77777777" w:rsidR="00537F80" w:rsidRPr="00F62D10" w:rsidRDefault="004A1EB3" w:rsidP="00537F80">
            <w:pPr>
              <w:rPr>
                <w:rFonts w:cs="Arial"/>
                <w:sz w:val="18"/>
                <w:szCs w:val="18"/>
              </w:rPr>
            </w:pPr>
            <w:r>
              <w:rPr>
                <w:rFonts w:cs="Arial"/>
                <w:sz w:val="18"/>
                <w:szCs w:val="18"/>
              </w:rPr>
              <w:t>Du</w:t>
            </w:r>
            <w:r w:rsidR="00F44329" w:rsidRPr="00F62D10">
              <w:rPr>
                <w:rFonts w:cs="Arial"/>
                <w:sz w:val="18"/>
                <w:szCs w:val="18"/>
              </w:rPr>
              <w:t xml:space="preserve"> 05/01/2012 </w:t>
            </w:r>
            <w:r>
              <w:rPr>
                <w:rFonts w:cs="Arial"/>
                <w:sz w:val="18"/>
                <w:szCs w:val="18"/>
              </w:rPr>
              <w:t>au</w:t>
            </w:r>
            <w:r w:rsidR="00F44329" w:rsidRPr="00F62D10">
              <w:rPr>
                <w:rFonts w:cs="Arial"/>
                <w:sz w:val="18"/>
                <w:szCs w:val="18"/>
              </w:rPr>
              <w:t xml:space="preserve"> 06/05/2014</w:t>
            </w:r>
          </w:p>
          <w:p w14:paraId="36F4D908" w14:textId="77777777" w:rsidR="005C5600" w:rsidRPr="00F62D10" w:rsidRDefault="005C5600" w:rsidP="00537F80">
            <w:pPr>
              <w:rPr>
                <w:rFonts w:cs="Arial"/>
                <w:sz w:val="18"/>
                <w:szCs w:val="18"/>
              </w:rPr>
            </w:pPr>
            <w:r w:rsidRPr="00F62D10">
              <w:rPr>
                <w:rFonts w:cs="Arial"/>
                <w:sz w:val="18"/>
                <w:szCs w:val="18"/>
              </w:rPr>
              <w:t xml:space="preserve">18 centres en </w:t>
            </w:r>
            <w:r w:rsidR="003B1C87">
              <w:rPr>
                <w:rFonts w:cs="Arial"/>
                <w:sz w:val="18"/>
                <w:szCs w:val="18"/>
              </w:rPr>
              <w:t>France</w:t>
            </w:r>
          </w:p>
        </w:tc>
      </w:tr>
      <w:tr w:rsidR="00537F80" w:rsidRPr="00F62D10" w14:paraId="6E64C673" w14:textId="77777777" w:rsidTr="00EA50C2">
        <w:trPr>
          <w:trHeight w:val="430"/>
        </w:trPr>
        <w:tc>
          <w:tcPr>
            <w:tcW w:w="2287" w:type="dxa"/>
            <w:shd w:val="clear" w:color="auto" w:fill="F3F3F3"/>
            <w:vAlign w:val="center"/>
          </w:tcPr>
          <w:p w14:paraId="562BD1CF" w14:textId="77777777" w:rsidR="00537F80" w:rsidRPr="00F62D10" w:rsidRDefault="00537F80" w:rsidP="00EA50C2">
            <w:pPr>
              <w:jc w:val="left"/>
              <w:rPr>
                <w:rFonts w:cs="Arial"/>
                <w:b/>
                <w:sz w:val="18"/>
                <w:szCs w:val="18"/>
              </w:rPr>
            </w:pPr>
            <w:r w:rsidRPr="00F62D10">
              <w:rPr>
                <w:rFonts w:cs="Arial"/>
                <w:b/>
                <w:sz w:val="18"/>
                <w:szCs w:val="18"/>
              </w:rPr>
              <w:t xml:space="preserve">Objectif </w:t>
            </w:r>
            <w:r w:rsidR="00F44329" w:rsidRPr="00F62D10">
              <w:rPr>
                <w:rFonts w:cs="Arial"/>
                <w:b/>
                <w:sz w:val="18"/>
                <w:szCs w:val="18"/>
              </w:rPr>
              <w:t>principal</w:t>
            </w:r>
          </w:p>
        </w:tc>
        <w:tc>
          <w:tcPr>
            <w:tcW w:w="7613" w:type="dxa"/>
            <w:vAlign w:val="center"/>
          </w:tcPr>
          <w:p w14:paraId="6A1CD002" w14:textId="61813A2B" w:rsidR="00537F80" w:rsidRPr="00F62D10" w:rsidRDefault="00537F80" w:rsidP="00F44329">
            <w:pPr>
              <w:rPr>
                <w:rFonts w:cs="Arial"/>
                <w:sz w:val="18"/>
                <w:szCs w:val="18"/>
              </w:rPr>
            </w:pPr>
            <w:r w:rsidRPr="00F62D10">
              <w:rPr>
                <w:rFonts w:cs="Arial"/>
                <w:sz w:val="18"/>
                <w:szCs w:val="18"/>
              </w:rPr>
              <w:t xml:space="preserve">Comparer les effets cliniques (succès/échec) de deux méthodes de titration de la méthadone chez des patients </w:t>
            </w:r>
            <w:r w:rsidR="004A1EB3">
              <w:rPr>
                <w:rFonts w:cs="Arial"/>
                <w:sz w:val="18"/>
                <w:szCs w:val="18"/>
              </w:rPr>
              <w:t xml:space="preserve">ayant des </w:t>
            </w:r>
            <w:r w:rsidRPr="00F62D10">
              <w:rPr>
                <w:rFonts w:cs="Arial"/>
                <w:sz w:val="18"/>
                <w:szCs w:val="18"/>
              </w:rPr>
              <w:t>douleur</w:t>
            </w:r>
            <w:r w:rsidR="004A1EB3">
              <w:rPr>
                <w:rFonts w:cs="Arial"/>
                <w:sz w:val="18"/>
                <w:szCs w:val="18"/>
              </w:rPr>
              <w:t>s</w:t>
            </w:r>
            <w:r w:rsidRPr="00F62D10">
              <w:rPr>
                <w:rFonts w:cs="Arial"/>
                <w:sz w:val="18"/>
                <w:szCs w:val="18"/>
              </w:rPr>
              <w:t xml:space="preserve"> </w:t>
            </w:r>
            <w:r w:rsidR="004A1EB3">
              <w:rPr>
                <w:rFonts w:cs="Arial"/>
                <w:sz w:val="18"/>
                <w:szCs w:val="18"/>
              </w:rPr>
              <w:t>d’origine cancéreuse</w:t>
            </w:r>
            <w:r w:rsidRPr="00F62D10">
              <w:rPr>
                <w:rFonts w:cs="Arial"/>
                <w:sz w:val="18"/>
                <w:szCs w:val="18"/>
              </w:rPr>
              <w:t xml:space="preserve"> non soulagé</w:t>
            </w:r>
            <w:r w:rsidR="004A1EB3">
              <w:rPr>
                <w:rFonts w:cs="Arial"/>
                <w:sz w:val="18"/>
                <w:szCs w:val="18"/>
              </w:rPr>
              <w:t>e</w:t>
            </w:r>
            <w:r w:rsidRPr="00F62D10">
              <w:rPr>
                <w:rFonts w:cs="Arial"/>
                <w:sz w:val="18"/>
                <w:szCs w:val="18"/>
              </w:rPr>
              <w:t xml:space="preserve">s ou avec des effets indésirables intolérables avec un traitement opioïde de palier </w:t>
            </w:r>
            <w:r w:rsidR="00FD0660">
              <w:rPr>
                <w:rFonts w:cs="Arial"/>
                <w:sz w:val="18"/>
                <w:szCs w:val="18"/>
              </w:rPr>
              <w:t>III</w:t>
            </w:r>
            <w:r w:rsidRPr="00F62D10">
              <w:rPr>
                <w:rFonts w:cs="Arial"/>
                <w:sz w:val="18"/>
                <w:szCs w:val="18"/>
              </w:rPr>
              <w:t>.</w:t>
            </w:r>
          </w:p>
        </w:tc>
      </w:tr>
      <w:tr w:rsidR="00537F80" w:rsidRPr="00F62D10" w14:paraId="3B2FA2B1" w14:textId="77777777" w:rsidTr="00EA50C2">
        <w:trPr>
          <w:trHeight w:val="481"/>
        </w:trPr>
        <w:tc>
          <w:tcPr>
            <w:tcW w:w="9900" w:type="dxa"/>
            <w:gridSpan w:val="2"/>
            <w:shd w:val="clear" w:color="auto" w:fill="BFBFBF" w:themeFill="background1" w:themeFillShade="BF"/>
            <w:vAlign w:val="center"/>
          </w:tcPr>
          <w:p w14:paraId="2B1E0EEF" w14:textId="77777777" w:rsidR="00537F80" w:rsidRPr="00F62D10" w:rsidRDefault="00537F80" w:rsidP="00EA50C2">
            <w:pPr>
              <w:jc w:val="center"/>
              <w:rPr>
                <w:rFonts w:cs="Arial"/>
                <w:b/>
                <w:sz w:val="18"/>
                <w:szCs w:val="18"/>
              </w:rPr>
            </w:pPr>
            <w:r w:rsidRPr="00F62D10">
              <w:rPr>
                <w:rFonts w:cs="Arial"/>
                <w:b/>
                <w:sz w:val="18"/>
                <w:szCs w:val="18"/>
              </w:rPr>
              <w:t>METHODE</w:t>
            </w:r>
          </w:p>
        </w:tc>
      </w:tr>
      <w:tr w:rsidR="00537F80" w:rsidRPr="00F62D10" w14:paraId="6C849BEC" w14:textId="77777777" w:rsidTr="00EA50C2">
        <w:trPr>
          <w:trHeight w:val="4041"/>
        </w:trPr>
        <w:tc>
          <w:tcPr>
            <w:tcW w:w="2287" w:type="dxa"/>
            <w:shd w:val="clear" w:color="auto" w:fill="F3F3F3"/>
            <w:vAlign w:val="center"/>
          </w:tcPr>
          <w:p w14:paraId="2D813F29" w14:textId="77777777" w:rsidR="00537F80" w:rsidRPr="00F62D10" w:rsidRDefault="00537F80" w:rsidP="00EA50C2">
            <w:pPr>
              <w:jc w:val="left"/>
              <w:rPr>
                <w:rFonts w:cs="Arial"/>
                <w:b/>
                <w:sz w:val="18"/>
                <w:szCs w:val="18"/>
              </w:rPr>
            </w:pPr>
            <w:r w:rsidRPr="00F62D10">
              <w:rPr>
                <w:rFonts w:cs="Arial"/>
                <w:b/>
                <w:sz w:val="18"/>
                <w:szCs w:val="18"/>
              </w:rPr>
              <w:t>Critères de sélection</w:t>
            </w:r>
          </w:p>
        </w:tc>
        <w:tc>
          <w:tcPr>
            <w:tcW w:w="7613" w:type="dxa"/>
            <w:vAlign w:val="center"/>
          </w:tcPr>
          <w:p w14:paraId="5260E016" w14:textId="77777777" w:rsidR="00537F80" w:rsidRPr="00F62D10" w:rsidRDefault="009B0BCB" w:rsidP="00EA50C2">
            <w:pPr>
              <w:rPr>
                <w:rFonts w:cs="Arial"/>
                <w:sz w:val="18"/>
                <w:szCs w:val="18"/>
              </w:rPr>
            </w:pPr>
            <w:r w:rsidRPr="00F62D10">
              <w:rPr>
                <w:rFonts w:cs="Arial"/>
                <w:sz w:val="18"/>
                <w:szCs w:val="18"/>
                <w:u w:val="single"/>
              </w:rPr>
              <w:t>Principaux c</w:t>
            </w:r>
            <w:r w:rsidR="00537F80" w:rsidRPr="00F62D10">
              <w:rPr>
                <w:rFonts w:cs="Arial"/>
                <w:sz w:val="18"/>
                <w:szCs w:val="18"/>
                <w:u w:val="single"/>
              </w:rPr>
              <w:t>ritère</w:t>
            </w:r>
            <w:r w:rsidRPr="00F62D10">
              <w:rPr>
                <w:rFonts w:cs="Arial"/>
                <w:sz w:val="18"/>
                <w:szCs w:val="18"/>
                <w:u w:val="single"/>
              </w:rPr>
              <w:t>s</w:t>
            </w:r>
            <w:r w:rsidR="00537F80" w:rsidRPr="00F62D10">
              <w:rPr>
                <w:rFonts w:cs="Arial"/>
                <w:sz w:val="18"/>
                <w:szCs w:val="18"/>
                <w:u w:val="single"/>
              </w:rPr>
              <w:t xml:space="preserve"> d’inclusion</w:t>
            </w:r>
            <w:r w:rsidR="00537F80" w:rsidRPr="00F62D10">
              <w:rPr>
                <w:rFonts w:cs="Arial"/>
                <w:sz w:val="18"/>
                <w:szCs w:val="18"/>
              </w:rPr>
              <w:t xml:space="preserve"> :  </w:t>
            </w:r>
          </w:p>
          <w:p w14:paraId="69817DD0" w14:textId="77777777" w:rsidR="00537F80" w:rsidRPr="00F62D10" w:rsidRDefault="00537F80" w:rsidP="003733A6">
            <w:pPr>
              <w:numPr>
                <w:ilvl w:val="0"/>
                <w:numId w:val="12"/>
              </w:numPr>
              <w:ind w:left="195" w:hanging="195"/>
              <w:contextualSpacing/>
              <w:rPr>
                <w:rFonts w:cs="Arial"/>
                <w:i/>
                <w:sz w:val="18"/>
                <w:szCs w:val="18"/>
              </w:rPr>
            </w:pPr>
            <w:r w:rsidRPr="00F62D10">
              <w:rPr>
                <w:rFonts w:cs="Arial"/>
                <w:sz w:val="18"/>
                <w:szCs w:val="18"/>
              </w:rPr>
              <w:t xml:space="preserve">Patient adulte de plus de 18 ans </w:t>
            </w:r>
          </w:p>
          <w:p w14:paraId="27C47BE4" w14:textId="77777777" w:rsidR="00537F80" w:rsidRPr="00F62D10" w:rsidRDefault="004829B5" w:rsidP="003733A6">
            <w:pPr>
              <w:numPr>
                <w:ilvl w:val="0"/>
                <w:numId w:val="12"/>
              </w:numPr>
              <w:ind w:left="195" w:hanging="195"/>
              <w:contextualSpacing/>
              <w:rPr>
                <w:rFonts w:cs="Arial"/>
                <w:sz w:val="18"/>
                <w:szCs w:val="18"/>
              </w:rPr>
            </w:pPr>
            <w:r>
              <w:rPr>
                <w:rFonts w:cs="Arial"/>
                <w:sz w:val="18"/>
                <w:szCs w:val="18"/>
              </w:rPr>
              <w:t xml:space="preserve">Ayant </w:t>
            </w:r>
            <w:r w:rsidR="00537F80" w:rsidRPr="00F62D10">
              <w:rPr>
                <w:rFonts w:cs="Arial"/>
                <w:sz w:val="18"/>
                <w:szCs w:val="18"/>
              </w:rPr>
              <w:t>un cancer, traité par chimiothérapie ou non, hospitalisé ou nécessitant une hospitalisation.</w:t>
            </w:r>
          </w:p>
          <w:p w14:paraId="37D19FD0" w14:textId="17D91F5E" w:rsidR="00537F80" w:rsidRPr="00F62D10" w:rsidRDefault="00D15D45" w:rsidP="003733A6">
            <w:pPr>
              <w:numPr>
                <w:ilvl w:val="0"/>
                <w:numId w:val="12"/>
              </w:numPr>
              <w:ind w:left="195" w:hanging="195"/>
              <w:contextualSpacing/>
              <w:rPr>
                <w:rFonts w:cs="Arial"/>
                <w:sz w:val="18"/>
                <w:szCs w:val="18"/>
              </w:rPr>
            </w:pPr>
            <w:r>
              <w:rPr>
                <w:rFonts w:cs="Arial"/>
                <w:sz w:val="18"/>
                <w:szCs w:val="18"/>
              </w:rPr>
              <w:t>Ayant</w:t>
            </w:r>
            <w:r w:rsidR="00537F80" w:rsidRPr="00F62D10">
              <w:rPr>
                <w:rFonts w:cs="Arial"/>
                <w:sz w:val="18"/>
                <w:szCs w:val="18"/>
              </w:rPr>
              <w:t xml:space="preserve"> de</w:t>
            </w:r>
            <w:r>
              <w:rPr>
                <w:rFonts w:cs="Arial"/>
                <w:sz w:val="18"/>
                <w:szCs w:val="18"/>
              </w:rPr>
              <w:t>s</w:t>
            </w:r>
            <w:r w:rsidR="00537F80" w:rsidRPr="00F62D10">
              <w:rPr>
                <w:rFonts w:cs="Arial"/>
                <w:sz w:val="18"/>
                <w:szCs w:val="18"/>
              </w:rPr>
              <w:t xml:space="preserve"> douleurs nociceptives ou mixtes </w:t>
            </w:r>
            <w:r w:rsidR="006E12F9">
              <w:rPr>
                <w:rFonts w:cs="Arial"/>
                <w:sz w:val="18"/>
                <w:szCs w:val="18"/>
              </w:rPr>
              <w:t>traité</w:t>
            </w:r>
            <w:r w:rsidR="005C38EC">
              <w:rPr>
                <w:rFonts w:cs="Arial"/>
                <w:sz w:val="18"/>
                <w:szCs w:val="18"/>
              </w:rPr>
              <w:t>e</w:t>
            </w:r>
            <w:r w:rsidR="006E12F9">
              <w:rPr>
                <w:rFonts w:cs="Arial"/>
                <w:sz w:val="18"/>
                <w:szCs w:val="18"/>
              </w:rPr>
              <w:t xml:space="preserve">s et </w:t>
            </w:r>
            <w:r w:rsidR="00537F80" w:rsidRPr="00F62D10">
              <w:rPr>
                <w:rFonts w:cs="Arial"/>
                <w:sz w:val="18"/>
                <w:szCs w:val="18"/>
              </w:rPr>
              <w:t xml:space="preserve">insuffisamment soulagées par des opioïdes de palier </w:t>
            </w:r>
            <w:r w:rsidR="00FD0660">
              <w:rPr>
                <w:rFonts w:cs="Arial"/>
                <w:sz w:val="18"/>
                <w:szCs w:val="18"/>
              </w:rPr>
              <w:t>III</w:t>
            </w:r>
            <w:r w:rsidR="00537F80" w:rsidRPr="00F62D10">
              <w:rPr>
                <w:rFonts w:cs="Arial"/>
                <w:sz w:val="18"/>
                <w:szCs w:val="18"/>
              </w:rPr>
              <w:t xml:space="preserve"> (morphine, oxycodone, fentanyl transdermique, hydromorphone) avec un score d'échelle numérique de la douleur ≥ 5 ou ayant des effets indésirables intolérables avec des opioïdes de niveau 3.</w:t>
            </w:r>
          </w:p>
          <w:p w14:paraId="7FECBB10" w14:textId="77777777" w:rsidR="009B0BCB" w:rsidRPr="00F62D10" w:rsidRDefault="009B0BCB" w:rsidP="00537F80">
            <w:pPr>
              <w:rPr>
                <w:rFonts w:cs="Arial"/>
                <w:sz w:val="18"/>
                <w:szCs w:val="18"/>
              </w:rPr>
            </w:pPr>
          </w:p>
          <w:p w14:paraId="37D1401C" w14:textId="77777777" w:rsidR="00537F80" w:rsidRPr="00F62D10" w:rsidRDefault="009B0BCB" w:rsidP="003733A6">
            <w:pPr>
              <w:ind w:left="195" w:hanging="142"/>
              <w:rPr>
                <w:rFonts w:cs="Arial"/>
                <w:sz w:val="18"/>
                <w:szCs w:val="18"/>
              </w:rPr>
            </w:pPr>
            <w:r w:rsidRPr="00F62D10">
              <w:rPr>
                <w:rFonts w:cs="Arial"/>
                <w:sz w:val="18"/>
                <w:szCs w:val="18"/>
                <w:u w:val="single"/>
              </w:rPr>
              <w:t>Principaux c</w:t>
            </w:r>
            <w:r w:rsidR="00537F80" w:rsidRPr="00F62D10">
              <w:rPr>
                <w:rFonts w:cs="Arial"/>
                <w:sz w:val="18"/>
                <w:szCs w:val="18"/>
                <w:u w:val="single"/>
              </w:rPr>
              <w:t>ritère</w:t>
            </w:r>
            <w:r w:rsidRPr="00F62D10">
              <w:rPr>
                <w:rFonts w:cs="Arial"/>
                <w:sz w:val="18"/>
                <w:szCs w:val="18"/>
                <w:u w:val="single"/>
              </w:rPr>
              <w:t>s</w:t>
            </w:r>
            <w:r w:rsidR="00537F80" w:rsidRPr="00F62D10">
              <w:rPr>
                <w:rFonts w:cs="Arial"/>
                <w:sz w:val="18"/>
                <w:szCs w:val="18"/>
                <w:u w:val="single"/>
              </w:rPr>
              <w:t xml:space="preserve"> de non inclusion</w:t>
            </w:r>
            <w:r w:rsidR="00537F80" w:rsidRPr="00EA50C2">
              <w:rPr>
                <w:rFonts w:cs="Arial"/>
                <w:sz w:val="18"/>
                <w:szCs w:val="18"/>
              </w:rPr>
              <w:t> </w:t>
            </w:r>
            <w:r w:rsidR="00537F80" w:rsidRPr="00F62D10">
              <w:rPr>
                <w:rFonts w:cs="Arial"/>
                <w:sz w:val="18"/>
                <w:szCs w:val="18"/>
              </w:rPr>
              <w:t>:</w:t>
            </w:r>
          </w:p>
          <w:p w14:paraId="71955034" w14:textId="77777777" w:rsidR="00537F80" w:rsidRPr="00F62D10" w:rsidRDefault="00537F80" w:rsidP="003733A6">
            <w:pPr>
              <w:numPr>
                <w:ilvl w:val="0"/>
                <w:numId w:val="13"/>
              </w:numPr>
              <w:ind w:left="195" w:hanging="142"/>
              <w:contextualSpacing/>
              <w:rPr>
                <w:rFonts w:cs="Arial"/>
                <w:sz w:val="18"/>
                <w:szCs w:val="18"/>
              </w:rPr>
            </w:pPr>
            <w:r w:rsidRPr="00F62D10">
              <w:rPr>
                <w:rFonts w:cs="Arial"/>
                <w:sz w:val="18"/>
                <w:szCs w:val="18"/>
              </w:rPr>
              <w:t xml:space="preserve">Patient </w:t>
            </w:r>
            <w:r w:rsidR="00992340">
              <w:rPr>
                <w:rFonts w:cs="Arial"/>
                <w:sz w:val="18"/>
                <w:szCs w:val="18"/>
              </w:rPr>
              <w:t>ayant un</w:t>
            </w:r>
            <w:r w:rsidRPr="00F62D10">
              <w:rPr>
                <w:rFonts w:cs="Arial"/>
                <w:sz w:val="18"/>
                <w:szCs w:val="18"/>
              </w:rPr>
              <w:t xml:space="preserve"> cancer en phase </w:t>
            </w:r>
            <w:r w:rsidR="00992340">
              <w:rPr>
                <w:rFonts w:cs="Arial"/>
                <w:sz w:val="18"/>
                <w:szCs w:val="18"/>
              </w:rPr>
              <w:t xml:space="preserve">terminale (espérance de vie &lt; </w:t>
            </w:r>
            <w:r w:rsidRPr="00F62D10">
              <w:rPr>
                <w:rFonts w:cs="Arial"/>
                <w:sz w:val="18"/>
                <w:szCs w:val="18"/>
              </w:rPr>
              <w:t>2 mois) selon le jugement de l’investigateur.</w:t>
            </w:r>
          </w:p>
          <w:p w14:paraId="0832D986" w14:textId="77777777" w:rsidR="00537F80" w:rsidRPr="00F62D10" w:rsidRDefault="00537F80" w:rsidP="003733A6">
            <w:pPr>
              <w:numPr>
                <w:ilvl w:val="0"/>
                <w:numId w:val="13"/>
              </w:numPr>
              <w:ind w:left="195" w:hanging="142"/>
              <w:contextualSpacing/>
              <w:rPr>
                <w:rFonts w:cs="Arial"/>
                <w:sz w:val="18"/>
                <w:szCs w:val="18"/>
              </w:rPr>
            </w:pPr>
            <w:r w:rsidRPr="00F62D10">
              <w:rPr>
                <w:rFonts w:cs="Arial"/>
                <w:sz w:val="18"/>
                <w:szCs w:val="18"/>
              </w:rPr>
              <w:t xml:space="preserve">Traité avec un médicament pouvant entraîner une interaction avec la méthadone, comme les anti-arythmiques (Ia ou III), l’érythromycine, la spiramycine, la vincamine. </w:t>
            </w:r>
          </w:p>
          <w:p w14:paraId="21CF9C42" w14:textId="77777777" w:rsidR="00537F80" w:rsidRPr="00F62D10" w:rsidRDefault="00537F80" w:rsidP="003733A6">
            <w:pPr>
              <w:numPr>
                <w:ilvl w:val="0"/>
                <w:numId w:val="13"/>
              </w:numPr>
              <w:ind w:left="195" w:hanging="195"/>
              <w:contextualSpacing/>
              <w:rPr>
                <w:rFonts w:cs="Arial"/>
                <w:sz w:val="18"/>
                <w:szCs w:val="18"/>
              </w:rPr>
            </w:pPr>
            <w:r w:rsidRPr="00F62D10">
              <w:rPr>
                <w:rFonts w:cs="Arial"/>
                <w:sz w:val="18"/>
                <w:szCs w:val="18"/>
              </w:rPr>
              <w:t>Atteint d’une insuffisance respiratoire décompensée ou d’une maladie hépatique grave.</w:t>
            </w:r>
          </w:p>
          <w:p w14:paraId="34AA5AC2" w14:textId="77777777" w:rsidR="00537F80" w:rsidRPr="00F62D10" w:rsidRDefault="00537F80" w:rsidP="003733A6">
            <w:pPr>
              <w:numPr>
                <w:ilvl w:val="0"/>
                <w:numId w:val="13"/>
              </w:numPr>
              <w:ind w:left="195" w:hanging="195"/>
              <w:contextualSpacing/>
              <w:rPr>
                <w:rFonts w:cs="Arial"/>
                <w:sz w:val="18"/>
                <w:szCs w:val="18"/>
              </w:rPr>
            </w:pPr>
            <w:r w:rsidRPr="00F62D10">
              <w:rPr>
                <w:rFonts w:cs="Arial"/>
                <w:sz w:val="18"/>
                <w:szCs w:val="18"/>
              </w:rPr>
              <w:t>Allongement de l'intervalle QT à l’ECG.</w:t>
            </w:r>
          </w:p>
          <w:p w14:paraId="06688299" w14:textId="6BE4FD0C" w:rsidR="00537F80" w:rsidRPr="00F62D10" w:rsidRDefault="00537F80" w:rsidP="003733A6">
            <w:pPr>
              <w:numPr>
                <w:ilvl w:val="0"/>
                <w:numId w:val="13"/>
              </w:numPr>
              <w:ind w:left="195" w:hanging="195"/>
              <w:contextualSpacing/>
              <w:rPr>
                <w:rFonts w:cs="Arial"/>
                <w:sz w:val="18"/>
                <w:szCs w:val="18"/>
              </w:rPr>
            </w:pPr>
            <w:r w:rsidRPr="00F62D10">
              <w:rPr>
                <w:rFonts w:cs="Arial"/>
                <w:sz w:val="18"/>
                <w:szCs w:val="18"/>
              </w:rPr>
              <w:t>Recevant un traitement concomitant par un médicament agoni</w:t>
            </w:r>
            <w:r w:rsidR="00992340">
              <w:rPr>
                <w:rFonts w:cs="Arial"/>
                <w:sz w:val="18"/>
                <w:szCs w:val="18"/>
              </w:rPr>
              <w:t>ste-antagoniste de type morphinique</w:t>
            </w:r>
            <w:r w:rsidRPr="00F62D10">
              <w:rPr>
                <w:rFonts w:cs="Arial"/>
                <w:sz w:val="18"/>
                <w:szCs w:val="18"/>
              </w:rPr>
              <w:t xml:space="preserve"> (pentazocine, buprénorphine, nalbuphine)</w:t>
            </w:r>
            <w:r w:rsidR="005C38EC">
              <w:rPr>
                <w:rFonts w:cs="Arial"/>
                <w:sz w:val="18"/>
                <w:szCs w:val="18"/>
              </w:rPr>
              <w:t>,</w:t>
            </w:r>
            <w:r w:rsidRPr="00F62D10">
              <w:rPr>
                <w:rFonts w:cs="Arial"/>
                <w:sz w:val="18"/>
                <w:szCs w:val="18"/>
              </w:rPr>
              <w:t xml:space="preserve"> par le sultopride, ou par un antagoniste morphinique (naltrexone).</w:t>
            </w:r>
          </w:p>
          <w:p w14:paraId="1172F000" w14:textId="1B360097" w:rsidR="00537F80" w:rsidRDefault="00537F80" w:rsidP="003733A6">
            <w:pPr>
              <w:numPr>
                <w:ilvl w:val="0"/>
                <w:numId w:val="13"/>
              </w:numPr>
              <w:ind w:left="195" w:hanging="195"/>
              <w:contextualSpacing/>
              <w:rPr>
                <w:rFonts w:cs="Arial"/>
                <w:sz w:val="18"/>
                <w:szCs w:val="18"/>
              </w:rPr>
            </w:pPr>
            <w:r w:rsidRPr="00F62D10">
              <w:rPr>
                <w:rFonts w:cs="Arial"/>
                <w:sz w:val="18"/>
                <w:szCs w:val="18"/>
              </w:rPr>
              <w:t>Traité par radiothérapie analgésique dans les 15 jours précédant l'inclusion.</w:t>
            </w:r>
          </w:p>
          <w:p w14:paraId="7266CAF2" w14:textId="37A4A7B7" w:rsidR="00107236" w:rsidRPr="0052169E" w:rsidRDefault="0052169E" w:rsidP="0052169E">
            <w:pPr>
              <w:numPr>
                <w:ilvl w:val="0"/>
                <w:numId w:val="13"/>
              </w:numPr>
              <w:ind w:left="195" w:hanging="195"/>
              <w:contextualSpacing/>
              <w:rPr>
                <w:rFonts w:cs="Arial"/>
                <w:sz w:val="18"/>
                <w:szCs w:val="18"/>
              </w:rPr>
            </w:pPr>
            <w:r>
              <w:rPr>
                <w:rFonts w:cs="Arial"/>
                <w:sz w:val="18"/>
                <w:szCs w:val="18"/>
              </w:rPr>
              <w:t>Insuffisance respiratoire décompensée ou maladie hépatique grave</w:t>
            </w:r>
          </w:p>
        </w:tc>
      </w:tr>
      <w:tr w:rsidR="000D5600" w:rsidRPr="00F62D10" w14:paraId="15566D4E" w14:textId="77777777" w:rsidTr="00EA50C2">
        <w:trPr>
          <w:trHeight w:val="179"/>
        </w:trPr>
        <w:tc>
          <w:tcPr>
            <w:tcW w:w="2287" w:type="dxa"/>
            <w:shd w:val="clear" w:color="auto" w:fill="F3F3F3"/>
            <w:vAlign w:val="center"/>
          </w:tcPr>
          <w:p w14:paraId="411FF885" w14:textId="73359203" w:rsidR="000D5600" w:rsidRPr="00F62D10" w:rsidRDefault="000D5600" w:rsidP="00EA50C2">
            <w:pPr>
              <w:jc w:val="left"/>
              <w:rPr>
                <w:rFonts w:cs="Arial"/>
                <w:b/>
                <w:sz w:val="18"/>
                <w:szCs w:val="18"/>
              </w:rPr>
            </w:pPr>
            <w:r w:rsidRPr="00F62D10">
              <w:rPr>
                <w:rFonts w:cs="Arial"/>
                <w:b/>
                <w:sz w:val="18"/>
                <w:szCs w:val="18"/>
              </w:rPr>
              <w:t>Produits étudiés</w:t>
            </w:r>
          </w:p>
        </w:tc>
        <w:tc>
          <w:tcPr>
            <w:tcW w:w="7613" w:type="dxa"/>
          </w:tcPr>
          <w:p w14:paraId="548E6365" w14:textId="77777777" w:rsidR="009C0DC4" w:rsidRDefault="000D5600" w:rsidP="009C0DC4">
            <w:pPr>
              <w:spacing w:before="60"/>
              <w:rPr>
                <w:rFonts w:cs="Arial"/>
                <w:sz w:val="18"/>
                <w:szCs w:val="18"/>
              </w:rPr>
            </w:pPr>
            <w:r>
              <w:rPr>
                <w:rFonts w:cs="Arial"/>
                <w:sz w:val="18"/>
                <w:szCs w:val="18"/>
              </w:rPr>
              <w:t>L</w:t>
            </w:r>
            <w:r w:rsidRPr="00F62D10">
              <w:rPr>
                <w:rFonts w:cs="Arial"/>
                <w:sz w:val="18"/>
                <w:szCs w:val="18"/>
              </w:rPr>
              <w:t xml:space="preserve">es patients ont été hospitalisés pendant la phase de titration (J2-J7), puis traités en hospitalisation ou en ambulatoire pendant une période maximale de 56 jours. </w:t>
            </w:r>
          </w:p>
          <w:p w14:paraId="6CD3B6CD" w14:textId="1C3FBEFB" w:rsidR="000D5600" w:rsidRPr="00D15D45" w:rsidRDefault="000D5600" w:rsidP="009C0DC4">
            <w:pPr>
              <w:spacing w:before="60"/>
              <w:rPr>
                <w:rFonts w:cs="Arial"/>
                <w:b/>
                <w:sz w:val="18"/>
                <w:szCs w:val="18"/>
              </w:rPr>
            </w:pPr>
            <w:r w:rsidRPr="00D15D45">
              <w:rPr>
                <w:rFonts w:cs="Arial"/>
                <w:sz w:val="18"/>
                <w:szCs w:val="18"/>
              </w:rPr>
              <w:t xml:space="preserve">Groupe A </w:t>
            </w:r>
            <w:r>
              <w:rPr>
                <w:rFonts w:cs="Arial"/>
                <w:sz w:val="18"/>
                <w:szCs w:val="18"/>
              </w:rPr>
              <w:t>:</w:t>
            </w:r>
            <w:r w:rsidRPr="00D15D45">
              <w:rPr>
                <w:rFonts w:cs="Arial"/>
                <w:sz w:val="18"/>
                <w:szCs w:val="18"/>
              </w:rPr>
              <w:t xml:space="preserve"> posologie de méthadone contrôlée par le patient sans chevauchement avec le traitement opioïde </w:t>
            </w:r>
            <w:r w:rsidRPr="00EE1E16">
              <w:rPr>
                <w:rFonts w:cs="Arial"/>
                <w:sz w:val="18"/>
                <w:szCs w:val="18"/>
              </w:rPr>
              <w:t>antérieur. Le titrage contrôlé par le patient était effectué sous la supervision de l’investigateur</w:t>
            </w:r>
            <w:r w:rsidRPr="00D15D45">
              <w:rPr>
                <w:rFonts w:cs="Arial"/>
                <w:b/>
                <w:sz w:val="18"/>
                <w:szCs w:val="18"/>
              </w:rPr>
              <w:t> :</w:t>
            </w:r>
          </w:p>
          <w:p w14:paraId="1118B5B6" w14:textId="18C74253" w:rsidR="000D5600" w:rsidRPr="002B7456" w:rsidRDefault="000D5600" w:rsidP="002B7456">
            <w:pPr>
              <w:numPr>
                <w:ilvl w:val="0"/>
                <w:numId w:val="33"/>
              </w:numPr>
              <w:ind w:left="478" w:hanging="283"/>
              <w:contextualSpacing/>
              <w:rPr>
                <w:rFonts w:cs="Arial"/>
                <w:sz w:val="18"/>
                <w:szCs w:val="18"/>
              </w:rPr>
            </w:pPr>
            <w:r w:rsidRPr="00F62D10">
              <w:rPr>
                <w:rFonts w:cs="Arial"/>
                <w:sz w:val="18"/>
                <w:szCs w:val="18"/>
              </w:rPr>
              <w:t xml:space="preserve">La posologie de l'opioïde à arrêter était convertie en équivalent morphine orale (OME) selon </w:t>
            </w:r>
            <w:r w:rsidR="002B7456">
              <w:rPr>
                <w:rFonts w:cs="Arial"/>
                <w:sz w:val="18"/>
                <w:szCs w:val="18"/>
              </w:rPr>
              <w:t>la</w:t>
            </w:r>
            <w:r w:rsidR="007E448D">
              <w:rPr>
                <w:rFonts w:cs="Arial"/>
                <w:sz w:val="18"/>
                <w:szCs w:val="18"/>
              </w:rPr>
              <w:t xml:space="preserve"> table d’équian</w:t>
            </w:r>
            <w:r w:rsidR="002B7456">
              <w:rPr>
                <w:rFonts w:cs="Arial"/>
                <w:sz w:val="18"/>
                <w:szCs w:val="18"/>
              </w:rPr>
              <w:t>tal</w:t>
            </w:r>
            <w:r w:rsidR="007E448D">
              <w:rPr>
                <w:rFonts w:cs="Arial"/>
                <w:sz w:val="18"/>
                <w:szCs w:val="18"/>
              </w:rPr>
              <w:t>gie des op</w:t>
            </w:r>
            <w:r w:rsidR="002B7456">
              <w:rPr>
                <w:rFonts w:cs="Arial"/>
                <w:sz w:val="18"/>
                <w:szCs w:val="18"/>
              </w:rPr>
              <w:t>i</w:t>
            </w:r>
            <w:r w:rsidR="007E448D">
              <w:rPr>
                <w:rFonts w:cs="Arial"/>
                <w:sz w:val="18"/>
                <w:szCs w:val="18"/>
              </w:rPr>
              <w:t>oïdes forts</w:t>
            </w:r>
            <w:r w:rsidR="002B7456">
              <w:rPr>
                <w:rFonts w:cs="Arial"/>
                <w:sz w:val="18"/>
                <w:szCs w:val="18"/>
              </w:rPr>
              <w:t xml:space="preserve"> dans la douleur cancéreuse par excès de nociception</w:t>
            </w:r>
          </w:p>
          <w:p w14:paraId="7BFFB57F" w14:textId="77777777" w:rsidR="000D5600" w:rsidRPr="00F62D10" w:rsidRDefault="000D5600" w:rsidP="000D5600">
            <w:pPr>
              <w:numPr>
                <w:ilvl w:val="0"/>
                <w:numId w:val="32"/>
              </w:numPr>
              <w:ind w:left="478" w:hanging="283"/>
              <w:contextualSpacing/>
              <w:rPr>
                <w:rFonts w:cs="Arial"/>
                <w:sz w:val="18"/>
                <w:szCs w:val="18"/>
              </w:rPr>
            </w:pPr>
            <w:r w:rsidRPr="00F62D10">
              <w:rPr>
                <w:rFonts w:cs="Arial"/>
                <w:sz w:val="18"/>
                <w:szCs w:val="18"/>
              </w:rPr>
              <w:t xml:space="preserve">Arrêt de l’opioïde </w:t>
            </w:r>
            <w:r>
              <w:rPr>
                <w:rFonts w:cs="Arial"/>
                <w:sz w:val="18"/>
                <w:szCs w:val="18"/>
              </w:rPr>
              <w:t xml:space="preserve">précédent </w:t>
            </w:r>
            <w:r w:rsidRPr="00F62D10">
              <w:rPr>
                <w:rFonts w:cs="Arial"/>
                <w:sz w:val="18"/>
                <w:szCs w:val="18"/>
              </w:rPr>
              <w:t>et administration de méthadone « à la demande » jusqu'à stabilisation de la posologie entre J4 et J6.</w:t>
            </w:r>
          </w:p>
          <w:p w14:paraId="1BE2B3B0" w14:textId="2C13B75C" w:rsidR="000D5600" w:rsidRPr="00EE1E16" w:rsidRDefault="000D5600" w:rsidP="000D5600">
            <w:pPr>
              <w:numPr>
                <w:ilvl w:val="0"/>
                <w:numId w:val="32"/>
              </w:numPr>
              <w:ind w:left="478" w:hanging="283"/>
              <w:contextualSpacing/>
              <w:rPr>
                <w:rFonts w:cs="Arial"/>
                <w:sz w:val="18"/>
                <w:szCs w:val="18"/>
              </w:rPr>
            </w:pPr>
            <w:r w:rsidRPr="00F62D10">
              <w:rPr>
                <w:rFonts w:cs="Arial"/>
                <w:sz w:val="18"/>
                <w:szCs w:val="18"/>
              </w:rPr>
              <w:t>La première dose uni</w:t>
            </w:r>
            <w:r>
              <w:rPr>
                <w:rFonts w:cs="Arial"/>
                <w:sz w:val="18"/>
                <w:szCs w:val="18"/>
              </w:rPr>
              <w:t>taire</w:t>
            </w:r>
            <w:r w:rsidRPr="00F62D10">
              <w:rPr>
                <w:rFonts w:cs="Arial"/>
                <w:sz w:val="18"/>
                <w:szCs w:val="18"/>
              </w:rPr>
              <w:t xml:space="preserve"> correspondait à 10% de l'OME par 24h sans dépasser 30 mg </w:t>
            </w:r>
            <w:r w:rsidRPr="00EE1E16">
              <w:rPr>
                <w:rFonts w:cs="Arial"/>
                <w:sz w:val="18"/>
                <w:szCs w:val="18"/>
              </w:rPr>
              <w:t>par prise.</w:t>
            </w:r>
          </w:p>
          <w:p w14:paraId="631425CD" w14:textId="517A36D0" w:rsidR="000D5600" w:rsidRPr="00EE1E16" w:rsidRDefault="000D5600" w:rsidP="000D5600">
            <w:pPr>
              <w:numPr>
                <w:ilvl w:val="0"/>
                <w:numId w:val="32"/>
              </w:numPr>
              <w:ind w:left="478" w:hanging="283"/>
              <w:contextualSpacing/>
              <w:rPr>
                <w:rFonts w:cs="Arial"/>
                <w:sz w:val="18"/>
                <w:szCs w:val="18"/>
              </w:rPr>
            </w:pPr>
            <w:r w:rsidRPr="00EE1E16">
              <w:rPr>
                <w:rFonts w:cs="Arial"/>
                <w:sz w:val="18"/>
                <w:szCs w:val="18"/>
              </w:rPr>
              <w:t>Après une 1</w:t>
            </w:r>
            <w:r w:rsidRPr="00EE1E16">
              <w:rPr>
                <w:rFonts w:cs="Arial"/>
                <w:sz w:val="18"/>
                <w:szCs w:val="18"/>
                <w:vertAlign w:val="superscript"/>
              </w:rPr>
              <w:t>e</w:t>
            </w:r>
            <w:r w:rsidRPr="00EE1E16">
              <w:rPr>
                <w:rFonts w:cs="Arial"/>
                <w:sz w:val="18"/>
                <w:szCs w:val="18"/>
              </w:rPr>
              <w:t xml:space="preserve"> dose, une 2</w:t>
            </w:r>
            <w:r w:rsidRPr="00EE1E16">
              <w:rPr>
                <w:rFonts w:cs="Arial"/>
                <w:sz w:val="18"/>
                <w:szCs w:val="18"/>
                <w:vertAlign w:val="superscript"/>
              </w:rPr>
              <w:t>e</w:t>
            </w:r>
            <w:r w:rsidRPr="00EE1E16">
              <w:rPr>
                <w:rFonts w:cs="Arial"/>
                <w:sz w:val="18"/>
                <w:szCs w:val="18"/>
              </w:rPr>
              <w:t xml:space="preserve"> dose pouvait être administrée après </w:t>
            </w:r>
            <w:r w:rsidR="00F824C5" w:rsidRPr="00EE1E16">
              <w:rPr>
                <w:rFonts w:cs="Arial"/>
                <w:sz w:val="18"/>
                <w:szCs w:val="18"/>
              </w:rPr>
              <w:t xml:space="preserve">un délai de </w:t>
            </w:r>
            <w:r w:rsidRPr="00EE1E16">
              <w:rPr>
                <w:rFonts w:cs="Arial"/>
                <w:sz w:val="18"/>
                <w:szCs w:val="18"/>
              </w:rPr>
              <w:t>1h en cas de douleur persistante sans dépasser 6 prises/j.</w:t>
            </w:r>
          </w:p>
          <w:p w14:paraId="16FB1286" w14:textId="77777777" w:rsidR="000D5600" w:rsidRPr="00F62D10" w:rsidRDefault="000D5600" w:rsidP="000D5600">
            <w:pPr>
              <w:numPr>
                <w:ilvl w:val="0"/>
                <w:numId w:val="32"/>
              </w:numPr>
              <w:ind w:left="478" w:hanging="283"/>
              <w:contextualSpacing/>
              <w:rPr>
                <w:rFonts w:cs="Arial"/>
                <w:sz w:val="18"/>
                <w:szCs w:val="18"/>
              </w:rPr>
            </w:pPr>
            <w:r w:rsidRPr="00F62D10">
              <w:rPr>
                <w:rFonts w:cs="Arial"/>
                <w:sz w:val="18"/>
                <w:szCs w:val="18"/>
              </w:rPr>
              <w:t>Une évaluation quotidienne était nécessaire : si le patient avait pris plus de 3 doses/ 24 h, la dose uni</w:t>
            </w:r>
            <w:r>
              <w:rPr>
                <w:rFonts w:cs="Arial"/>
                <w:sz w:val="18"/>
                <w:szCs w:val="18"/>
              </w:rPr>
              <w:t>taire</w:t>
            </w:r>
            <w:r w:rsidRPr="00F62D10">
              <w:rPr>
                <w:rFonts w:cs="Arial"/>
                <w:sz w:val="18"/>
                <w:szCs w:val="18"/>
              </w:rPr>
              <w:t xml:space="preserve"> </w:t>
            </w:r>
            <w:r>
              <w:rPr>
                <w:rFonts w:cs="Arial"/>
                <w:sz w:val="18"/>
                <w:szCs w:val="18"/>
              </w:rPr>
              <w:t>était augmentée de 30 à 50 % et pouvait alors dépasser 30 mg.</w:t>
            </w:r>
          </w:p>
          <w:p w14:paraId="39026B7B" w14:textId="2B2F88AD" w:rsidR="000D5600" w:rsidRPr="00F62D10" w:rsidRDefault="000D5600" w:rsidP="000D5600">
            <w:pPr>
              <w:numPr>
                <w:ilvl w:val="0"/>
                <w:numId w:val="32"/>
              </w:numPr>
              <w:ind w:left="478" w:hanging="283"/>
              <w:contextualSpacing/>
              <w:rPr>
                <w:rFonts w:cs="Arial"/>
                <w:sz w:val="18"/>
                <w:szCs w:val="18"/>
              </w:rPr>
            </w:pPr>
            <w:r w:rsidRPr="00F62D10">
              <w:rPr>
                <w:rFonts w:cs="Arial"/>
                <w:sz w:val="18"/>
                <w:szCs w:val="18"/>
              </w:rPr>
              <w:t xml:space="preserve">A partir de J6, il était possible de prendre 2 doses/j en cas de posologie stable </w:t>
            </w:r>
            <w:r>
              <w:rPr>
                <w:rFonts w:cs="Arial"/>
                <w:sz w:val="18"/>
                <w:szCs w:val="18"/>
              </w:rPr>
              <w:t xml:space="preserve">depuis </w:t>
            </w:r>
            <w:r w:rsidRPr="00F62D10">
              <w:rPr>
                <w:rFonts w:cs="Arial"/>
                <w:sz w:val="18"/>
                <w:szCs w:val="18"/>
              </w:rPr>
              <w:t xml:space="preserve">48 h. La </w:t>
            </w:r>
            <w:r>
              <w:rPr>
                <w:rFonts w:cs="Arial"/>
                <w:sz w:val="18"/>
                <w:szCs w:val="18"/>
              </w:rPr>
              <w:t>dose</w:t>
            </w:r>
            <w:r w:rsidRPr="00F62D10">
              <w:rPr>
                <w:rFonts w:cs="Arial"/>
                <w:sz w:val="18"/>
                <w:szCs w:val="18"/>
              </w:rPr>
              <w:t xml:space="preserve"> totale des 48 </w:t>
            </w:r>
            <w:r>
              <w:rPr>
                <w:rFonts w:cs="Arial"/>
                <w:sz w:val="18"/>
                <w:szCs w:val="18"/>
              </w:rPr>
              <w:t>h</w:t>
            </w:r>
            <w:r w:rsidR="00D86E3B">
              <w:rPr>
                <w:rFonts w:cs="Arial"/>
                <w:sz w:val="18"/>
                <w:szCs w:val="18"/>
              </w:rPr>
              <w:t>,</w:t>
            </w:r>
            <w:r>
              <w:rPr>
                <w:rFonts w:cs="Arial"/>
                <w:sz w:val="18"/>
                <w:szCs w:val="18"/>
              </w:rPr>
              <w:t xml:space="preserve"> </w:t>
            </w:r>
            <w:r w:rsidRPr="00F62D10">
              <w:rPr>
                <w:rFonts w:cs="Arial"/>
                <w:sz w:val="18"/>
                <w:szCs w:val="18"/>
              </w:rPr>
              <w:t xml:space="preserve">divisée </w:t>
            </w:r>
            <w:r>
              <w:rPr>
                <w:rFonts w:cs="Arial"/>
                <w:sz w:val="18"/>
                <w:szCs w:val="18"/>
              </w:rPr>
              <w:t>par</w:t>
            </w:r>
            <w:r w:rsidRPr="00F62D10">
              <w:rPr>
                <w:rFonts w:cs="Arial"/>
                <w:sz w:val="18"/>
                <w:szCs w:val="18"/>
              </w:rPr>
              <w:t xml:space="preserve"> 4</w:t>
            </w:r>
            <w:r w:rsidR="00D86E3B">
              <w:rPr>
                <w:rFonts w:cs="Arial"/>
                <w:sz w:val="18"/>
                <w:szCs w:val="18"/>
              </w:rPr>
              <w:t>,</w:t>
            </w:r>
            <w:r w:rsidRPr="00F62D10">
              <w:rPr>
                <w:rFonts w:cs="Arial"/>
                <w:sz w:val="18"/>
                <w:szCs w:val="18"/>
              </w:rPr>
              <w:t xml:space="preserve"> </w:t>
            </w:r>
            <w:r>
              <w:rPr>
                <w:rFonts w:cs="Arial"/>
                <w:sz w:val="18"/>
                <w:szCs w:val="18"/>
              </w:rPr>
              <w:t>sera</w:t>
            </w:r>
            <w:r w:rsidRPr="00F62D10">
              <w:rPr>
                <w:rFonts w:cs="Arial"/>
                <w:sz w:val="18"/>
                <w:szCs w:val="18"/>
              </w:rPr>
              <w:t xml:space="preserve"> administr</w:t>
            </w:r>
            <w:r w:rsidR="007E448D">
              <w:rPr>
                <w:rFonts w:cs="Arial"/>
                <w:sz w:val="18"/>
                <w:szCs w:val="18"/>
              </w:rPr>
              <w:t>ée</w:t>
            </w:r>
            <w:r w:rsidRPr="00F62D10">
              <w:rPr>
                <w:rFonts w:cs="Arial"/>
                <w:sz w:val="18"/>
                <w:szCs w:val="18"/>
              </w:rPr>
              <w:t xml:space="preserve"> toutes les 12 h. De plus, en cas de </w:t>
            </w:r>
            <w:r>
              <w:rPr>
                <w:rFonts w:cs="Arial"/>
                <w:sz w:val="18"/>
                <w:szCs w:val="18"/>
              </w:rPr>
              <w:t xml:space="preserve">nécessité, une </w:t>
            </w:r>
            <w:r w:rsidRPr="00F62D10">
              <w:rPr>
                <w:rFonts w:cs="Arial"/>
                <w:sz w:val="18"/>
                <w:szCs w:val="18"/>
              </w:rPr>
              <w:t>interdose</w:t>
            </w:r>
            <w:r>
              <w:rPr>
                <w:rFonts w:cs="Arial"/>
                <w:sz w:val="18"/>
                <w:szCs w:val="18"/>
              </w:rPr>
              <w:t xml:space="preserve"> fixée au</w:t>
            </w:r>
            <w:r w:rsidRPr="00F62D10">
              <w:rPr>
                <w:rFonts w:cs="Arial"/>
                <w:sz w:val="18"/>
                <w:szCs w:val="18"/>
              </w:rPr>
              <w:t xml:space="preserve"> 1/6</w:t>
            </w:r>
            <w:r>
              <w:rPr>
                <w:rFonts w:cs="Arial"/>
                <w:sz w:val="18"/>
                <w:szCs w:val="18"/>
              </w:rPr>
              <w:t>e</w:t>
            </w:r>
            <w:r w:rsidRPr="00F62D10">
              <w:rPr>
                <w:rFonts w:cs="Arial"/>
                <w:sz w:val="18"/>
                <w:szCs w:val="18"/>
              </w:rPr>
              <w:t xml:space="preserve"> de la dose fixe de</w:t>
            </w:r>
            <w:r>
              <w:rPr>
                <w:rFonts w:cs="Arial"/>
                <w:sz w:val="18"/>
                <w:szCs w:val="18"/>
              </w:rPr>
              <w:t>s</w:t>
            </w:r>
            <w:r w:rsidRPr="00F62D10">
              <w:rPr>
                <w:rFonts w:cs="Arial"/>
                <w:sz w:val="18"/>
                <w:szCs w:val="18"/>
              </w:rPr>
              <w:t xml:space="preserve"> 24 h pouvait être administrée </w:t>
            </w:r>
            <w:r>
              <w:rPr>
                <w:rFonts w:cs="Arial"/>
                <w:sz w:val="18"/>
                <w:szCs w:val="18"/>
              </w:rPr>
              <w:t>sans dépasser 6 doses/j</w:t>
            </w:r>
            <w:r w:rsidRPr="00F62D10">
              <w:rPr>
                <w:rFonts w:cs="Arial"/>
                <w:sz w:val="18"/>
                <w:szCs w:val="18"/>
              </w:rPr>
              <w:t>.</w:t>
            </w:r>
          </w:p>
          <w:p w14:paraId="2CE22E7E" w14:textId="2A3C15E9" w:rsidR="000D5600" w:rsidRPr="002B7456" w:rsidRDefault="000D5600" w:rsidP="000D5600">
            <w:pPr>
              <w:pStyle w:val="Paragraphedeliste"/>
              <w:numPr>
                <w:ilvl w:val="0"/>
                <w:numId w:val="7"/>
              </w:numPr>
              <w:spacing w:before="80"/>
              <w:ind w:left="193" w:hanging="193"/>
              <w:rPr>
                <w:rFonts w:cs="Arial"/>
                <w:sz w:val="18"/>
                <w:szCs w:val="18"/>
              </w:rPr>
            </w:pPr>
            <w:r w:rsidRPr="00D15D45">
              <w:rPr>
                <w:rFonts w:cs="Arial"/>
                <w:sz w:val="18"/>
                <w:szCs w:val="18"/>
              </w:rPr>
              <w:t>Groupe B</w:t>
            </w:r>
            <w:r w:rsidR="007E448D">
              <w:rPr>
                <w:rFonts w:cs="Arial"/>
                <w:sz w:val="18"/>
                <w:szCs w:val="18"/>
              </w:rPr>
              <w:t> :</w:t>
            </w:r>
            <w:r w:rsidRPr="00D15D45">
              <w:rPr>
                <w:rFonts w:cs="Arial"/>
                <w:sz w:val="18"/>
                <w:szCs w:val="18"/>
              </w:rPr>
              <w:t xml:space="preserve"> posologie fixe de méthadone </w:t>
            </w:r>
            <w:r w:rsidR="007E448D">
              <w:rPr>
                <w:rFonts w:cs="Arial"/>
                <w:sz w:val="18"/>
                <w:szCs w:val="18"/>
              </w:rPr>
              <w:t xml:space="preserve">avec </w:t>
            </w:r>
            <w:r w:rsidRPr="00D15D45">
              <w:rPr>
                <w:rFonts w:cs="Arial"/>
                <w:sz w:val="18"/>
                <w:szCs w:val="18"/>
              </w:rPr>
              <w:t>chevauch</w:t>
            </w:r>
            <w:r w:rsidR="007E448D">
              <w:rPr>
                <w:rFonts w:cs="Arial"/>
                <w:sz w:val="18"/>
                <w:szCs w:val="18"/>
              </w:rPr>
              <w:t>ement</w:t>
            </w:r>
            <w:r w:rsidRPr="00D15D45">
              <w:rPr>
                <w:rFonts w:cs="Arial"/>
                <w:sz w:val="18"/>
                <w:szCs w:val="18"/>
              </w:rPr>
              <w:t xml:space="preserve"> avec le traitement opioïde antérieur. Cette méthode est basée sur un </w:t>
            </w:r>
            <w:r w:rsidR="007E448D">
              <w:rPr>
                <w:rFonts w:cs="Arial"/>
                <w:sz w:val="18"/>
                <w:szCs w:val="18"/>
              </w:rPr>
              <w:t xml:space="preserve">changement </w:t>
            </w:r>
            <w:r w:rsidRPr="00D15D45">
              <w:rPr>
                <w:rFonts w:cs="Arial"/>
                <w:sz w:val="18"/>
                <w:szCs w:val="18"/>
              </w:rPr>
              <w:t xml:space="preserve">progressif pour éviter le syndrome de </w:t>
            </w:r>
            <w:r w:rsidRPr="002B7456">
              <w:rPr>
                <w:rFonts w:cs="Arial"/>
                <w:sz w:val="18"/>
                <w:szCs w:val="18"/>
              </w:rPr>
              <w:t>sevrage quand l’opioïde précédent est interrompu :</w:t>
            </w:r>
          </w:p>
          <w:p w14:paraId="7C1E6552" w14:textId="111A8DBD" w:rsidR="000D5600" w:rsidRPr="002B7456" w:rsidRDefault="000D5600" w:rsidP="000D5600">
            <w:pPr>
              <w:numPr>
                <w:ilvl w:val="0"/>
                <w:numId w:val="33"/>
              </w:numPr>
              <w:ind w:left="478" w:hanging="283"/>
              <w:contextualSpacing/>
              <w:rPr>
                <w:rFonts w:cs="Arial"/>
                <w:sz w:val="18"/>
                <w:szCs w:val="18"/>
              </w:rPr>
            </w:pPr>
            <w:r w:rsidRPr="002B7456">
              <w:rPr>
                <w:rFonts w:cs="Arial"/>
                <w:sz w:val="18"/>
                <w:szCs w:val="18"/>
              </w:rPr>
              <w:t xml:space="preserve">La posologie de l'opioïde à arrêter était convertie en OME </w:t>
            </w:r>
            <w:r w:rsidR="002B7456" w:rsidRPr="002B7456">
              <w:rPr>
                <w:rFonts w:cs="Arial"/>
                <w:sz w:val="18"/>
                <w:szCs w:val="18"/>
              </w:rPr>
              <w:t xml:space="preserve">selon </w:t>
            </w:r>
            <w:r w:rsidR="002B7456">
              <w:rPr>
                <w:rFonts w:cs="Arial"/>
                <w:sz w:val="18"/>
                <w:szCs w:val="18"/>
              </w:rPr>
              <w:t>la</w:t>
            </w:r>
            <w:r w:rsidR="002B7456" w:rsidRPr="002B7456">
              <w:rPr>
                <w:rFonts w:cs="Arial"/>
                <w:sz w:val="18"/>
                <w:szCs w:val="18"/>
              </w:rPr>
              <w:t xml:space="preserve"> table d’équiantalgie des opioïdes forts</w:t>
            </w:r>
            <w:r w:rsidR="002B7456">
              <w:rPr>
                <w:rFonts w:cs="Arial"/>
                <w:sz w:val="18"/>
                <w:szCs w:val="18"/>
              </w:rPr>
              <w:t xml:space="preserve"> dans la douleur cancéreuse par excès de nociception</w:t>
            </w:r>
          </w:p>
          <w:p w14:paraId="3521FAEB" w14:textId="77777777" w:rsidR="000D5600" w:rsidRPr="002B7456" w:rsidRDefault="000D5600" w:rsidP="000D5600">
            <w:pPr>
              <w:numPr>
                <w:ilvl w:val="0"/>
                <w:numId w:val="15"/>
              </w:numPr>
              <w:ind w:left="620" w:hanging="142"/>
              <w:contextualSpacing/>
              <w:rPr>
                <w:rFonts w:cs="Arial"/>
                <w:sz w:val="18"/>
                <w:szCs w:val="18"/>
              </w:rPr>
            </w:pPr>
            <w:r w:rsidRPr="002B7456">
              <w:rPr>
                <w:rFonts w:cs="Arial"/>
                <w:sz w:val="18"/>
                <w:szCs w:val="18"/>
              </w:rPr>
              <w:t>ratio 4/1 pour les patients recevant 30 mg à 90 mg d'OME par jour,</w:t>
            </w:r>
          </w:p>
          <w:p w14:paraId="73A3D439" w14:textId="77777777" w:rsidR="000D5600" w:rsidRPr="00F62D10" w:rsidRDefault="000D5600" w:rsidP="000D5600">
            <w:pPr>
              <w:numPr>
                <w:ilvl w:val="0"/>
                <w:numId w:val="15"/>
              </w:numPr>
              <w:ind w:left="620" w:hanging="142"/>
              <w:contextualSpacing/>
              <w:rPr>
                <w:rFonts w:cs="Arial"/>
                <w:sz w:val="18"/>
                <w:szCs w:val="18"/>
              </w:rPr>
            </w:pPr>
            <w:r w:rsidRPr="002B7456">
              <w:rPr>
                <w:rFonts w:cs="Arial"/>
                <w:sz w:val="18"/>
                <w:szCs w:val="18"/>
              </w:rPr>
              <w:t xml:space="preserve">ratio 6/1 pour les patients recevant </w:t>
            </w:r>
            <w:r w:rsidRPr="00F62D10">
              <w:rPr>
                <w:rFonts w:cs="Arial"/>
                <w:sz w:val="18"/>
                <w:szCs w:val="18"/>
              </w:rPr>
              <w:t>91 mg à 300 mg d'OME par jour,</w:t>
            </w:r>
          </w:p>
          <w:p w14:paraId="6F117A27" w14:textId="77777777" w:rsidR="000D5600" w:rsidRPr="00F62D10" w:rsidRDefault="000D5600" w:rsidP="000D5600">
            <w:pPr>
              <w:numPr>
                <w:ilvl w:val="0"/>
                <w:numId w:val="15"/>
              </w:numPr>
              <w:ind w:left="620" w:hanging="142"/>
              <w:contextualSpacing/>
              <w:rPr>
                <w:rFonts w:cs="Arial"/>
                <w:sz w:val="18"/>
                <w:szCs w:val="18"/>
              </w:rPr>
            </w:pPr>
            <w:r>
              <w:rPr>
                <w:rFonts w:cs="Arial"/>
                <w:sz w:val="18"/>
                <w:szCs w:val="18"/>
              </w:rPr>
              <w:t>ratio</w:t>
            </w:r>
            <w:r w:rsidRPr="00F62D10">
              <w:rPr>
                <w:rFonts w:cs="Arial"/>
                <w:sz w:val="18"/>
                <w:szCs w:val="18"/>
              </w:rPr>
              <w:t xml:space="preserve"> 8/1 pour les patients recevant plus de 300 mg d’OME par jour.</w:t>
            </w:r>
          </w:p>
          <w:p w14:paraId="0C88164B" w14:textId="1AE05B1A" w:rsidR="000D5600" w:rsidRPr="00F62D10" w:rsidRDefault="000D5600" w:rsidP="000D5600">
            <w:pPr>
              <w:numPr>
                <w:ilvl w:val="1"/>
                <w:numId w:val="34"/>
              </w:numPr>
              <w:ind w:left="478" w:hanging="283"/>
              <w:contextualSpacing/>
              <w:rPr>
                <w:rFonts w:cs="Arial"/>
                <w:sz w:val="18"/>
                <w:szCs w:val="18"/>
              </w:rPr>
            </w:pPr>
            <w:r w:rsidRPr="00F62D10">
              <w:rPr>
                <w:rFonts w:cs="Arial"/>
                <w:sz w:val="18"/>
                <w:szCs w:val="18"/>
              </w:rPr>
              <w:t>Répartition la posologie de méthadone en 3 prises orales sur une période de 24h sans dépasser 30 mg par prise.</w:t>
            </w:r>
          </w:p>
          <w:p w14:paraId="5BCBF2EB" w14:textId="77777777" w:rsidR="000D5600" w:rsidRPr="00F62D10" w:rsidRDefault="000D5600" w:rsidP="000D5600">
            <w:pPr>
              <w:numPr>
                <w:ilvl w:val="1"/>
                <w:numId w:val="34"/>
              </w:numPr>
              <w:ind w:left="478" w:hanging="283"/>
              <w:contextualSpacing/>
              <w:rPr>
                <w:rFonts w:cs="Arial"/>
                <w:sz w:val="18"/>
                <w:szCs w:val="18"/>
              </w:rPr>
            </w:pPr>
            <w:r w:rsidRPr="00F62D10">
              <w:rPr>
                <w:rFonts w:cs="Arial"/>
                <w:sz w:val="18"/>
                <w:szCs w:val="18"/>
              </w:rPr>
              <w:t xml:space="preserve">Réduction de 50% </w:t>
            </w:r>
            <w:r>
              <w:rPr>
                <w:rFonts w:cs="Arial"/>
                <w:sz w:val="18"/>
                <w:szCs w:val="18"/>
              </w:rPr>
              <w:t xml:space="preserve">de </w:t>
            </w:r>
            <w:r w:rsidRPr="00F62D10">
              <w:rPr>
                <w:rFonts w:cs="Arial"/>
                <w:sz w:val="18"/>
                <w:szCs w:val="18"/>
              </w:rPr>
              <w:t xml:space="preserve">la posologie de l'opioïde précédent au moment du changement, puis à nouveau le lendemain. </w:t>
            </w:r>
            <w:r>
              <w:rPr>
                <w:rFonts w:cs="Arial"/>
                <w:sz w:val="18"/>
                <w:szCs w:val="18"/>
              </w:rPr>
              <w:t>L</w:t>
            </w:r>
            <w:r w:rsidRPr="00F62D10">
              <w:rPr>
                <w:rFonts w:cs="Arial"/>
                <w:sz w:val="18"/>
                <w:szCs w:val="18"/>
              </w:rPr>
              <w:t>es deux opioïdes se chevauchaient pendant 2 jours.</w:t>
            </w:r>
          </w:p>
          <w:p w14:paraId="3A32F9A3" w14:textId="20505179" w:rsidR="000D5600" w:rsidRDefault="000D5600" w:rsidP="000D5600">
            <w:pPr>
              <w:numPr>
                <w:ilvl w:val="1"/>
                <w:numId w:val="34"/>
              </w:numPr>
              <w:ind w:left="478" w:hanging="283"/>
              <w:contextualSpacing/>
              <w:rPr>
                <w:rFonts w:cs="Arial"/>
                <w:sz w:val="18"/>
                <w:szCs w:val="18"/>
              </w:rPr>
            </w:pPr>
            <w:r w:rsidRPr="00F62D10">
              <w:rPr>
                <w:rFonts w:cs="Arial"/>
                <w:sz w:val="18"/>
                <w:szCs w:val="18"/>
              </w:rPr>
              <w:t>Évaluation du risque de surdosage à J4-J5, en mettant l’accent sur la somnolence et la dépression respiratoire. Adaptation de la posologie de méthadone selon la qualité du soulagement d</w:t>
            </w:r>
            <w:r>
              <w:rPr>
                <w:rFonts w:cs="Arial"/>
                <w:sz w:val="18"/>
                <w:szCs w:val="18"/>
              </w:rPr>
              <w:t>e la douleur et de la tolérance, maintien des</w:t>
            </w:r>
            <w:r w:rsidRPr="00F62D10">
              <w:rPr>
                <w:rFonts w:cs="Arial"/>
                <w:sz w:val="18"/>
                <w:szCs w:val="18"/>
              </w:rPr>
              <w:t xml:space="preserve"> 3 prises par jour.</w:t>
            </w:r>
          </w:p>
          <w:p w14:paraId="028DCF4D" w14:textId="5896C5CB" w:rsidR="000D5600" w:rsidRPr="002B7456" w:rsidRDefault="000D5600" w:rsidP="002B7456">
            <w:pPr>
              <w:numPr>
                <w:ilvl w:val="1"/>
                <w:numId w:val="34"/>
              </w:numPr>
              <w:ind w:left="478" w:hanging="283"/>
              <w:contextualSpacing/>
              <w:rPr>
                <w:rFonts w:cs="Arial"/>
                <w:sz w:val="18"/>
                <w:szCs w:val="18"/>
              </w:rPr>
            </w:pPr>
            <w:r w:rsidRPr="002B7456">
              <w:rPr>
                <w:rFonts w:cs="Arial"/>
                <w:sz w:val="18"/>
                <w:szCs w:val="18"/>
              </w:rPr>
              <w:t xml:space="preserve">Le patient pouvait prendre 3 doses supplémentaires de 5 mg de méthadone, en cas de récurrence de la douleur </w:t>
            </w:r>
            <w:r w:rsidR="002B7456" w:rsidRPr="002B7456">
              <w:rPr>
                <w:rFonts w:cs="Arial"/>
                <w:sz w:val="18"/>
                <w:szCs w:val="18"/>
              </w:rPr>
              <w:t>entre</w:t>
            </w:r>
            <w:r w:rsidRPr="002B7456">
              <w:rPr>
                <w:rFonts w:cs="Arial"/>
                <w:sz w:val="18"/>
                <w:szCs w:val="18"/>
              </w:rPr>
              <w:t xml:space="preserve"> J1 à J3.</w:t>
            </w:r>
          </w:p>
        </w:tc>
      </w:tr>
      <w:tr w:rsidR="000D5600" w:rsidRPr="00F62D10" w14:paraId="334472C8" w14:textId="77777777" w:rsidTr="00EA50C2">
        <w:trPr>
          <w:trHeight w:val="447"/>
        </w:trPr>
        <w:tc>
          <w:tcPr>
            <w:tcW w:w="2287" w:type="dxa"/>
            <w:shd w:val="clear" w:color="auto" w:fill="F3F3F3"/>
            <w:vAlign w:val="center"/>
          </w:tcPr>
          <w:p w14:paraId="25C64AEF" w14:textId="77777777" w:rsidR="000D5600" w:rsidRPr="00F62D10" w:rsidRDefault="000D5600" w:rsidP="00EA50C2">
            <w:pPr>
              <w:jc w:val="left"/>
              <w:rPr>
                <w:rFonts w:cs="Arial"/>
                <w:b/>
                <w:sz w:val="18"/>
                <w:szCs w:val="18"/>
              </w:rPr>
            </w:pPr>
            <w:r w:rsidRPr="00F62D10">
              <w:rPr>
                <w:rFonts w:cs="Arial"/>
                <w:b/>
                <w:sz w:val="18"/>
                <w:szCs w:val="18"/>
              </w:rPr>
              <w:t>Critère de jugement principal</w:t>
            </w:r>
          </w:p>
        </w:tc>
        <w:tc>
          <w:tcPr>
            <w:tcW w:w="7613" w:type="dxa"/>
            <w:vAlign w:val="center"/>
          </w:tcPr>
          <w:p w14:paraId="43357F1A" w14:textId="77777777" w:rsidR="000D5600" w:rsidRPr="004D311B" w:rsidRDefault="000D5600" w:rsidP="000D5600">
            <w:pPr>
              <w:rPr>
                <w:rFonts w:cs="Arial"/>
                <w:sz w:val="18"/>
                <w:szCs w:val="18"/>
              </w:rPr>
            </w:pPr>
            <w:r w:rsidRPr="004D311B">
              <w:rPr>
                <w:rFonts w:cs="Arial"/>
                <w:sz w:val="18"/>
                <w:szCs w:val="18"/>
              </w:rPr>
              <w:t>Taux de réussite/échec associé au changement vers la méthadone à J4</w:t>
            </w:r>
          </w:p>
          <w:p w14:paraId="7659DED6" w14:textId="448FA632" w:rsidR="000D5600" w:rsidRDefault="000D5600" w:rsidP="000D5600">
            <w:pPr>
              <w:rPr>
                <w:rFonts w:cs="Arial"/>
                <w:sz w:val="18"/>
                <w:szCs w:val="18"/>
              </w:rPr>
            </w:pPr>
            <w:r w:rsidRPr="00F62D10">
              <w:rPr>
                <w:rFonts w:cs="Arial"/>
                <w:sz w:val="18"/>
                <w:szCs w:val="18"/>
              </w:rPr>
              <w:t xml:space="preserve">Le succès était défini comme un soulagement adéquat de la douleur à J4 </w:t>
            </w:r>
            <w:r w:rsidRPr="00F62D10">
              <w:rPr>
                <w:rFonts w:cs="Arial"/>
                <w:b/>
                <w:sz w:val="18"/>
                <w:szCs w:val="18"/>
                <w:u w:val="single"/>
              </w:rPr>
              <w:t>et</w:t>
            </w:r>
            <w:r w:rsidRPr="00F62D10">
              <w:rPr>
                <w:rFonts w:cs="Arial"/>
                <w:sz w:val="18"/>
                <w:szCs w:val="18"/>
              </w:rPr>
              <w:t xml:space="preserve"> l’absence de surdosage</w:t>
            </w:r>
            <w:r>
              <w:rPr>
                <w:rFonts w:cs="Arial"/>
                <w:sz w:val="18"/>
                <w:szCs w:val="18"/>
              </w:rPr>
              <w:t>*</w:t>
            </w:r>
            <w:r w:rsidRPr="00F62D10">
              <w:rPr>
                <w:rFonts w:cs="Arial"/>
                <w:sz w:val="18"/>
                <w:szCs w:val="18"/>
              </w:rPr>
              <w:t xml:space="preserve"> entre J1 et J4. </w:t>
            </w:r>
          </w:p>
          <w:p w14:paraId="70C6A223" w14:textId="77777777" w:rsidR="000D5600" w:rsidRPr="00F62D10" w:rsidRDefault="000D5600" w:rsidP="000D5600">
            <w:pPr>
              <w:rPr>
                <w:rFonts w:cs="Arial"/>
                <w:sz w:val="18"/>
                <w:szCs w:val="18"/>
              </w:rPr>
            </w:pPr>
            <w:r w:rsidRPr="00F62D10">
              <w:rPr>
                <w:rFonts w:cs="Arial"/>
                <w:sz w:val="18"/>
                <w:szCs w:val="18"/>
              </w:rPr>
              <w:t>Le soulagement adéquat de la douleur était un critère composite comprenant :</w:t>
            </w:r>
          </w:p>
          <w:p w14:paraId="0F471639" w14:textId="77777777" w:rsidR="000D5600" w:rsidRPr="00F62D10" w:rsidRDefault="000D5600" w:rsidP="000D5600">
            <w:pPr>
              <w:numPr>
                <w:ilvl w:val="0"/>
                <w:numId w:val="16"/>
              </w:numPr>
              <w:ind w:left="195" w:hanging="195"/>
              <w:contextualSpacing/>
              <w:rPr>
                <w:rFonts w:cs="Arial"/>
                <w:sz w:val="18"/>
                <w:szCs w:val="18"/>
              </w:rPr>
            </w:pPr>
            <w:r w:rsidRPr="00F62D10">
              <w:rPr>
                <w:rFonts w:cs="Arial"/>
                <w:sz w:val="18"/>
                <w:szCs w:val="18"/>
              </w:rPr>
              <w:t xml:space="preserve">une diminution d'au moins 2 points </w:t>
            </w:r>
            <w:r>
              <w:rPr>
                <w:rFonts w:cs="Arial"/>
                <w:sz w:val="18"/>
                <w:szCs w:val="18"/>
              </w:rPr>
              <w:t>du score à l’</w:t>
            </w:r>
            <w:r w:rsidRPr="00F62D10">
              <w:rPr>
                <w:rFonts w:cs="Arial"/>
                <w:sz w:val="18"/>
                <w:szCs w:val="18"/>
              </w:rPr>
              <w:t xml:space="preserve">échelle visuelle analogique </w:t>
            </w:r>
            <w:r>
              <w:rPr>
                <w:rFonts w:cs="Arial"/>
                <w:sz w:val="18"/>
                <w:szCs w:val="18"/>
              </w:rPr>
              <w:t>(</w:t>
            </w:r>
            <w:r w:rsidRPr="00F62D10">
              <w:rPr>
                <w:rFonts w:cs="Arial"/>
                <w:sz w:val="18"/>
                <w:szCs w:val="18"/>
              </w:rPr>
              <w:t>EVA</w:t>
            </w:r>
            <w:r>
              <w:rPr>
                <w:rFonts w:cs="Arial"/>
                <w:sz w:val="18"/>
                <w:szCs w:val="18"/>
              </w:rPr>
              <w:t xml:space="preserve">) de la douleur allant de </w:t>
            </w:r>
            <w:r w:rsidRPr="00F62D10">
              <w:rPr>
                <w:rFonts w:cs="Arial"/>
                <w:sz w:val="18"/>
                <w:szCs w:val="18"/>
              </w:rPr>
              <w:t>0</w:t>
            </w:r>
            <w:r>
              <w:rPr>
                <w:rFonts w:cs="Arial"/>
                <w:sz w:val="18"/>
                <w:szCs w:val="18"/>
              </w:rPr>
              <w:t xml:space="preserve"> (</w:t>
            </w:r>
            <w:r w:rsidRPr="00F62D10">
              <w:rPr>
                <w:rFonts w:cs="Arial"/>
                <w:sz w:val="18"/>
                <w:szCs w:val="18"/>
              </w:rPr>
              <w:t>aucune douleur</w:t>
            </w:r>
            <w:r>
              <w:rPr>
                <w:rFonts w:cs="Arial"/>
                <w:sz w:val="18"/>
                <w:szCs w:val="18"/>
              </w:rPr>
              <w:t>)</w:t>
            </w:r>
            <w:r w:rsidRPr="00F62D10">
              <w:rPr>
                <w:rFonts w:cs="Arial"/>
                <w:sz w:val="18"/>
                <w:szCs w:val="18"/>
              </w:rPr>
              <w:t xml:space="preserve"> à 10</w:t>
            </w:r>
            <w:r>
              <w:rPr>
                <w:rFonts w:cs="Arial"/>
                <w:sz w:val="18"/>
                <w:szCs w:val="18"/>
              </w:rPr>
              <w:t xml:space="preserve"> (</w:t>
            </w:r>
            <w:r w:rsidRPr="00F62D10">
              <w:rPr>
                <w:rFonts w:cs="Arial"/>
                <w:sz w:val="18"/>
                <w:szCs w:val="18"/>
              </w:rPr>
              <w:t xml:space="preserve">douleur inacceptable) </w:t>
            </w:r>
            <w:r>
              <w:rPr>
                <w:rFonts w:cs="Arial"/>
                <w:sz w:val="18"/>
                <w:szCs w:val="18"/>
              </w:rPr>
              <w:t xml:space="preserve">observée </w:t>
            </w:r>
            <w:r w:rsidRPr="00F62D10">
              <w:rPr>
                <w:rFonts w:cs="Arial"/>
                <w:sz w:val="18"/>
                <w:szCs w:val="18"/>
              </w:rPr>
              <w:t>à J4 par rapport à l’inclusion,</w:t>
            </w:r>
          </w:p>
          <w:p w14:paraId="352C45C6" w14:textId="77777777" w:rsidR="000D5600" w:rsidRPr="00F62D10" w:rsidRDefault="000D5600" w:rsidP="000D5600">
            <w:pPr>
              <w:numPr>
                <w:ilvl w:val="0"/>
                <w:numId w:val="16"/>
              </w:numPr>
              <w:ind w:left="195" w:hanging="195"/>
              <w:contextualSpacing/>
              <w:rPr>
                <w:rFonts w:cs="Arial"/>
                <w:sz w:val="18"/>
                <w:szCs w:val="18"/>
              </w:rPr>
            </w:pPr>
            <w:r w:rsidRPr="00992340">
              <w:rPr>
                <w:rFonts w:cs="Arial"/>
                <w:sz w:val="18"/>
                <w:szCs w:val="18"/>
              </w:rPr>
              <w:t>et</w:t>
            </w:r>
            <w:r w:rsidRPr="00F62D10">
              <w:rPr>
                <w:rFonts w:cs="Arial"/>
                <w:sz w:val="18"/>
                <w:szCs w:val="18"/>
              </w:rPr>
              <w:t xml:space="preserve"> un score EVA &lt; 5 pendant 2 jours consécutifs (entre J1 et J4).</w:t>
            </w:r>
          </w:p>
          <w:p w14:paraId="7E7D9830" w14:textId="55E7A75A" w:rsidR="000D5600" w:rsidRPr="00F62D10" w:rsidRDefault="000D5600" w:rsidP="000D5600">
            <w:pPr>
              <w:contextualSpacing/>
              <w:rPr>
                <w:rFonts w:cs="Arial"/>
                <w:sz w:val="18"/>
                <w:szCs w:val="18"/>
              </w:rPr>
            </w:pPr>
            <w:r>
              <w:rPr>
                <w:rFonts w:cs="Arial"/>
                <w:sz w:val="18"/>
                <w:szCs w:val="18"/>
              </w:rPr>
              <w:t>*</w:t>
            </w:r>
            <w:r w:rsidRPr="00F62D10">
              <w:rPr>
                <w:rFonts w:cs="Arial"/>
                <w:sz w:val="18"/>
                <w:szCs w:val="18"/>
              </w:rPr>
              <w:t xml:space="preserve">Un épisode de surdosage </w:t>
            </w:r>
            <w:r>
              <w:rPr>
                <w:rFonts w:cs="Arial"/>
                <w:sz w:val="18"/>
                <w:szCs w:val="18"/>
              </w:rPr>
              <w:t xml:space="preserve">était </w:t>
            </w:r>
            <w:r w:rsidRPr="00F62D10">
              <w:rPr>
                <w:rFonts w:cs="Arial"/>
                <w:sz w:val="18"/>
                <w:szCs w:val="18"/>
              </w:rPr>
              <w:t xml:space="preserve">défini </w:t>
            </w:r>
            <w:r>
              <w:rPr>
                <w:rFonts w:cs="Arial"/>
                <w:sz w:val="18"/>
                <w:szCs w:val="18"/>
              </w:rPr>
              <w:t xml:space="preserve">par </w:t>
            </w:r>
            <w:r w:rsidRPr="00F62D10">
              <w:rPr>
                <w:rFonts w:cs="Arial"/>
                <w:sz w:val="18"/>
                <w:szCs w:val="18"/>
              </w:rPr>
              <w:t xml:space="preserve">un score </w:t>
            </w:r>
            <w:r>
              <w:rPr>
                <w:rFonts w:cs="Arial"/>
                <w:sz w:val="18"/>
                <w:szCs w:val="18"/>
              </w:rPr>
              <w:t>à l’</w:t>
            </w:r>
            <w:r w:rsidRPr="00F62D10">
              <w:rPr>
                <w:rFonts w:cs="Arial"/>
                <w:sz w:val="18"/>
                <w:szCs w:val="18"/>
              </w:rPr>
              <w:t>échelle de Rudkin</w:t>
            </w:r>
            <w:r w:rsidRPr="00F62D10">
              <w:rPr>
                <w:rStyle w:val="Appelnotedebasdep"/>
                <w:rFonts w:cs="Arial"/>
                <w:sz w:val="18"/>
                <w:szCs w:val="18"/>
              </w:rPr>
              <w:footnoteReference w:id="11"/>
            </w:r>
            <w:r w:rsidRPr="00F62D10">
              <w:rPr>
                <w:rFonts w:cs="Arial"/>
                <w:sz w:val="18"/>
                <w:szCs w:val="18"/>
              </w:rPr>
              <w:t xml:space="preserve"> ≥ 3 et une fréquence respiratoire &lt; 8 respirations/min.</w:t>
            </w:r>
          </w:p>
        </w:tc>
      </w:tr>
      <w:tr w:rsidR="000D5600" w:rsidRPr="00F62D10" w14:paraId="4D67A18E" w14:textId="77777777" w:rsidTr="00EA50C2">
        <w:trPr>
          <w:trHeight w:val="413"/>
        </w:trPr>
        <w:tc>
          <w:tcPr>
            <w:tcW w:w="2287" w:type="dxa"/>
            <w:shd w:val="clear" w:color="auto" w:fill="F3F3F3"/>
            <w:vAlign w:val="center"/>
          </w:tcPr>
          <w:p w14:paraId="63F43A8C" w14:textId="77777777" w:rsidR="000D5600" w:rsidRPr="00F62D10" w:rsidRDefault="000D5600" w:rsidP="00EA50C2">
            <w:pPr>
              <w:jc w:val="left"/>
              <w:rPr>
                <w:rFonts w:cs="Arial"/>
                <w:b/>
                <w:sz w:val="18"/>
                <w:szCs w:val="18"/>
              </w:rPr>
            </w:pPr>
            <w:r w:rsidRPr="00F62D10">
              <w:rPr>
                <w:rFonts w:cs="Arial"/>
                <w:b/>
                <w:sz w:val="18"/>
                <w:szCs w:val="18"/>
              </w:rPr>
              <w:t>Critères de jugement secondaires</w:t>
            </w:r>
          </w:p>
        </w:tc>
        <w:tc>
          <w:tcPr>
            <w:tcW w:w="7613" w:type="dxa"/>
            <w:vAlign w:val="center"/>
          </w:tcPr>
          <w:p w14:paraId="2B76E92C" w14:textId="77777777" w:rsidR="000D5600" w:rsidRPr="00F62D10" w:rsidRDefault="000D5600" w:rsidP="000D5600">
            <w:pPr>
              <w:rPr>
                <w:rFonts w:cs="Arial"/>
                <w:sz w:val="18"/>
                <w:szCs w:val="18"/>
              </w:rPr>
            </w:pPr>
            <w:r w:rsidRPr="00F62D10">
              <w:rPr>
                <w:rFonts w:cs="Arial"/>
                <w:sz w:val="18"/>
                <w:szCs w:val="18"/>
              </w:rPr>
              <w:t>Plusieurs critères secondaires ont été évalués sans hiérarchisation :</w:t>
            </w:r>
          </w:p>
          <w:p w14:paraId="0BDC0E6F" w14:textId="77777777" w:rsidR="000D5600" w:rsidRPr="00F62D10" w:rsidRDefault="000D5600" w:rsidP="000D5600">
            <w:pPr>
              <w:numPr>
                <w:ilvl w:val="0"/>
                <w:numId w:val="18"/>
              </w:numPr>
              <w:ind w:left="198" w:hanging="198"/>
              <w:contextualSpacing/>
              <w:rPr>
                <w:rFonts w:cs="Arial"/>
                <w:sz w:val="18"/>
                <w:szCs w:val="18"/>
              </w:rPr>
            </w:pPr>
            <w:r w:rsidRPr="00F62D10">
              <w:rPr>
                <w:rFonts w:cs="Arial"/>
                <w:sz w:val="18"/>
                <w:szCs w:val="18"/>
              </w:rPr>
              <w:t xml:space="preserve">Soulagement de la douleur : scores EVA </w:t>
            </w:r>
            <w:r>
              <w:rPr>
                <w:rFonts w:cs="Arial"/>
                <w:sz w:val="18"/>
                <w:szCs w:val="18"/>
              </w:rPr>
              <w:t>à</w:t>
            </w:r>
            <w:r w:rsidRPr="00F62D10">
              <w:rPr>
                <w:rFonts w:cs="Arial"/>
                <w:sz w:val="18"/>
                <w:szCs w:val="18"/>
              </w:rPr>
              <w:t xml:space="preserve"> J</w:t>
            </w:r>
            <w:r>
              <w:rPr>
                <w:rFonts w:cs="Arial"/>
                <w:sz w:val="18"/>
                <w:szCs w:val="18"/>
              </w:rPr>
              <w:t>14, J21, J28, J42, J56 ;</w:t>
            </w:r>
            <w:r w:rsidRPr="00F62D10">
              <w:rPr>
                <w:rFonts w:cs="Arial"/>
                <w:sz w:val="18"/>
                <w:szCs w:val="18"/>
              </w:rPr>
              <w:t xml:space="preserve"> questionnaire BPI (</w:t>
            </w:r>
            <w:r w:rsidRPr="00F62D10">
              <w:rPr>
                <w:rFonts w:cs="Arial"/>
                <w:i/>
                <w:sz w:val="18"/>
                <w:szCs w:val="18"/>
              </w:rPr>
              <w:t>brief pain inventory</w:t>
            </w:r>
            <w:r w:rsidRPr="00F62D10">
              <w:rPr>
                <w:rFonts w:cs="Arial"/>
                <w:sz w:val="18"/>
                <w:szCs w:val="18"/>
              </w:rPr>
              <w:t xml:space="preserve">), </w:t>
            </w:r>
            <w:r>
              <w:rPr>
                <w:rFonts w:cs="Arial"/>
                <w:sz w:val="18"/>
                <w:szCs w:val="18"/>
              </w:rPr>
              <w:t>pourcentage</w:t>
            </w:r>
            <w:r w:rsidRPr="00F62D10">
              <w:rPr>
                <w:rFonts w:cs="Arial"/>
                <w:sz w:val="18"/>
                <w:szCs w:val="18"/>
              </w:rPr>
              <w:t xml:space="preserve"> de patients avec un soulagement adéquat de la douleur, délai nécessaire pour obtenir un soulagement adéquat de la douleur.</w:t>
            </w:r>
          </w:p>
          <w:p w14:paraId="14227CD0" w14:textId="77777777" w:rsidR="000D5600" w:rsidRDefault="000D5600" w:rsidP="000D5600">
            <w:pPr>
              <w:numPr>
                <w:ilvl w:val="0"/>
                <w:numId w:val="18"/>
              </w:numPr>
              <w:ind w:left="198" w:hanging="198"/>
              <w:contextualSpacing/>
              <w:rPr>
                <w:rFonts w:cs="Arial"/>
                <w:sz w:val="18"/>
                <w:szCs w:val="18"/>
              </w:rPr>
            </w:pPr>
            <w:r w:rsidRPr="00F62D10">
              <w:rPr>
                <w:rFonts w:cs="Arial"/>
                <w:sz w:val="18"/>
                <w:szCs w:val="18"/>
              </w:rPr>
              <w:t xml:space="preserve">Administration de la méthadone : posologies moyennes, accès de douleur, interdoses et nombre d'ajustements posologiques </w:t>
            </w:r>
            <w:r>
              <w:rPr>
                <w:rFonts w:cs="Arial"/>
                <w:sz w:val="18"/>
                <w:szCs w:val="18"/>
              </w:rPr>
              <w:t xml:space="preserve">(entre J1 et J6) </w:t>
            </w:r>
            <w:r w:rsidRPr="00F62D10">
              <w:rPr>
                <w:rFonts w:cs="Arial"/>
                <w:sz w:val="18"/>
                <w:szCs w:val="18"/>
              </w:rPr>
              <w:t xml:space="preserve">dans le groupe </w:t>
            </w:r>
            <w:r>
              <w:rPr>
                <w:rFonts w:cs="Arial"/>
                <w:sz w:val="18"/>
                <w:szCs w:val="18"/>
              </w:rPr>
              <w:t>A</w:t>
            </w:r>
            <w:r w:rsidRPr="00F62D10">
              <w:rPr>
                <w:rFonts w:cs="Arial"/>
                <w:sz w:val="18"/>
                <w:szCs w:val="18"/>
              </w:rPr>
              <w:t xml:space="preserve">, doses supplémentaires </w:t>
            </w:r>
            <w:r>
              <w:rPr>
                <w:rFonts w:cs="Arial"/>
                <w:sz w:val="18"/>
                <w:szCs w:val="18"/>
              </w:rPr>
              <w:t xml:space="preserve">(entre J1 et J3) </w:t>
            </w:r>
            <w:r w:rsidRPr="00F62D10">
              <w:rPr>
                <w:rFonts w:cs="Arial"/>
                <w:sz w:val="18"/>
                <w:szCs w:val="18"/>
              </w:rPr>
              <w:t xml:space="preserve">dans le groupe </w:t>
            </w:r>
            <w:r>
              <w:rPr>
                <w:rFonts w:cs="Arial"/>
                <w:sz w:val="18"/>
                <w:szCs w:val="18"/>
              </w:rPr>
              <w:t>B</w:t>
            </w:r>
            <w:r w:rsidRPr="00F62D10">
              <w:rPr>
                <w:rFonts w:cs="Arial"/>
                <w:sz w:val="18"/>
                <w:szCs w:val="18"/>
              </w:rPr>
              <w:t>, médicaments adjuvants et médicaments de secours.</w:t>
            </w:r>
          </w:p>
          <w:p w14:paraId="0A1AEBCB" w14:textId="77777777" w:rsidR="000D5600" w:rsidRPr="00F62D10" w:rsidRDefault="000D5600" w:rsidP="000D5600">
            <w:pPr>
              <w:numPr>
                <w:ilvl w:val="0"/>
                <w:numId w:val="18"/>
              </w:numPr>
              <w:ind w:left="198" w:hanging="198"/>
              <w:contextualSpacing/>
              <w:rPr>
                <w:rFonts w:cs="Arial"/>
                <w:sz w:val="18"/>
                <w:szCs w:val="18"/>
              </w:rPr>
            </w:pPr>
            <w:r>
              <w:rPr>
                <w:rFonts w:cs="Arial"/>
                <w:sz w:val="18"/>
                <w:szCs w:val="18"/>
              </w:rPr>
              <w:t>Score de Rudkin moyen</w:t>
            </w:r>
          </w:p>
          <w:p w14:paraId="45D46F03" w14:textId="77777777" w:rsidR="000D5600" w:rsidRPr="00F62D10" w:rsidRDefault="000D5600" w:rsidP="000D5600">
            <w:pPr>
              <w:numPr>
                <w:ilvl w:val="0"/>
                <w:numId w:val="18"/>
              </w:numPr>
              <w:ind w:left="198" w:hanging="198"/>
              <w:contextualSpacing/>
              <w:rPr>
                <w:rFonts w:cs="Arial"/>
                <w:sz w:val="18"/>
                <w:szCs w:val="18"/>
              </w:rPr>
            </w:pPr>
            <w:r w:rsidRPr="00F62D10">
              <w:rPr>
                <w:rFonts w:cs="Arial"/>
                <w:sz w:val="18"/>
                <w:szCs w:val="18"/>
              </w:rPr>
              <w:t xml:space="preserve">Qualité de vie (EORTC QLQ-C30 : </w:t>
            </w:r>
            <w:r w:rsidRPr="00F62D10">
              <w:rPr>
                <w:rFonts w:cs="Arial"/>
                <w:i/>
                <w:sz w:val="18"/>
                <w:szCs w:val="18"/>
              </w:rPr>
              <w:t>European Organisation for Research and Treatment of Cancer Quality-of-life Questionnaire Core 30</w:t>
            </w:r>
            <w:r w:rsidRPr="00F62D10">
              <w:rPr>
                <w:rFonts w:cs="Arial"/>
                <w:sz w:val="18"/>
                <w:szCs w:val="18"/>
              </w:rPr>
              <w:t>) à J56.</w:t>
            </w:r>
          </w:p>
          <w:p w14:paraId="01B39CA3" w14:textId="77777777" w:rsidR="000D5600" w:rsidRDefault="000D5600" w:rsidP="000D5600">
            <w:pPr>
              <w:numPr>
                <w:ilvl w:val="0"/>
                <w:numId w:val="18"/>
              </w:numPr>
              <w:ind w:left="198" w:hanging="198"/>
              <w:contextualSpacing/>
              <w:rPr>
                <w:rFonts w:cs="Arial"/>
                <w:sz w:val="18"/>
                <w:szCs w:val="18"/>
              </w:rPr>
            </w:pPr>
            <w:r w:rsidRPr="00F62D10">
              <w:rPr>
                <w:rFonts w:cs="Arial"/>
                <w:sz w:val="18"/>
                <w:szCs w:val="18"/>
              </w:rPr>
              <w:t>Opinion du prescripteur sur la commodité d</w:t>
            </w:r>
            <w:r>
              <w:rPr>
                <w:rFonts w:cs="Arial"/>
                <w:sz w:val="18"/>
                <w:szCs w:val="18"/>
              </w:rPr>
              <w:t>e l’instauration du traitement par méthadone</w:t>
            </w:r>
            <w:r w:rsidRPr="00F62D10">
              <w:rPr>
                <w:rFonts w:cs="Arial"/>
                <w:sz w:val="18"/>
                <w:szCs w:val="18"/>
              </w:rPr>
              <w:t>.</w:t>
            </w:r>
          </w:p>
          <w:p w14:paraId="628CC4D2" w14:textId="77777777" w:rsidR="000D5600" w:rsidRPr="007C595E" w:rsidRDefault="000D5600" w:rsidP="000D5600">
            <w:pPr>
              <w:numPr>
                <w:ilvl w:val="0"/>
                <w:numId w:val="18"/>
              </w:numPr>
              <w:ind w:left="198" w:hanging="198"/>
              <w:contextualSpacing/>
              <w:rPr>
                <w:rFonts w:cs="Arial"/>
                <w:sz w:val="18"/>
                <w:szCs w:val="18"/>
              </w:rPr>
            </w:pPr>
            <w:r w:rsidRPr="00F62D10">
              <w:rPr>
                <w:rFonts w:cs="Arial"/>
                <w:sz w:val="18"/>
                <w:szCs w:val="18"/>
              </w:rPr>
              <w:t xml:space="preserve">Tolérance de la méthadone : effets indésirables, score de Handelsman (syndrome de sevrage), </w:t>
            </w:r>
            <w:r>
              <w:rPr>
                <w:rFonts w:cs="Arial"/>
                <w:sz w:val="18"/>
                <w:szCs w:val="18"/>
              </w:rPr>
              <w:t xml:space="preserve">syndrome de sevrage, </w:t>
            </w:r>
            <w:r w:rsidRPr="00F62D10">
              <w:rPr>
                <w:rFonts w:cs="Arial"/>
                <w:sz w:val="18"/>
                <w:szCs w:val="18"/>
              </w:rPr>
              <w:t>modification de l'intervalle QT.</w:t>
            </w:r>
          </w:p>
        </w:tc>
      </w:tr>
      <w:tr w:rsidR="000D5600" w:rsidRPr="00F62D10" w14:paraId="53E82E04" w14:textId="77777777" w:rsidTr="00EA50C2">
        <w:trPr>
          <w:trHeight w:val="860"/>
        </w:trPr>
        <w:tc>
          <w:tcPr>
            <w:tcW w:w="2287" w:type="dxa"/>
            <w:shd w:val="clear" w:color="auto" w:fill="F3F3F3"/>
            <w:vAlign w:val="center"/>
          </w:tcPr>
          <w:p w14:paraId="1BAD9955" w14:textId="77777777" w:rsidR="000D5600" w:rsidRPr="00F62D10" w:rsidRDefault="000D5600" w:rsidP="00EA50C2">
            <w:pPr>
              <w:jc w:val="left"/>
              <w:rPr>
                <w:rFonts w:cs="Arial"/>
                <w:b/>
                <w:sz w:val="18"/>
                <w:szCs w:val="18"/>
              </w:rPr>
            </w:pPr>
            <w:r w:rsidRPr="00F62D10">
              <w:rPr>
                <w:rFonts w:cs="Arial"/>
                <w:b/>
                <w:sz w:val="18"/>
                <w:szCs w:val="18"/>
              </w:rPr>
              <w:t xml:space="preserve">Taille de l’échantillon </w:t>
            </w:r>
          </w:p>
        </w:tc>
        <w:tc>
          <w:tcPr>
            <w:tcW w:w="7613" w:type="dxa"/>
            <w:vAlign w:val="center"/>
          </w:tcPr>
          <w:p w14:paraId="6DE01610" w14:textId="4C3A5BEC" w:rsidR="000D5600" w:rsidRDefault="000D5600" w:rsidP="000D5600">
            <w:pPr>
              <w:rPr>
                <w:rFonts w:cs="Arial"/>
                <w:sz w:val="18"/>
                <w:szCs w:val="18"/>
              </w:rPr>
            </w:pPr>
            <w:r w:rsidRPr="00F62D10">
              <w:rPr>
                <w:rFonts w:cs="Arial"/>
                <w:sz w:val="18"/>
                <w:szCs w:val="18"/>
              </w:rPr>
              <w:t>La taille de l'échantillon de 161 patients a été calculée en supposant un taux de réussite de 85</w:t>
            </w:r>
            <w:r>
              <w:rPr>
                <w:rFonts w:cs="Arial"/>
                <w:sz w:val="18"/>
                <w:szCs w:val="18"/>
              </w:rPr>
              <w:t>% dans le groupe A et de 65</w:t>
            </w:r>
            <w:r w:rsidRPr="00F62D10">
              <w:rPr>
                <w:rFonts w:cs="Arial"/>
                <w:sz w:val="18"/>
                <w:szCs w:val="18"/>
              </w:rPr>
              <w:t>% dans le groupe B</w:t>
            </w:r>
            <w:r w:rsidR="005C38EC">
              <w:rPr>
                <w:rFonts w:cs="Arial"/>
                <w:sz w:val="18"/>
                <w:szCs w:val="18"/>
              </w:rPr>
              <w:t xml:space="preserve"> et</w:t>
            </w:r>
            <w:r>
              <w:rPr>
                <w:rFonts w:cs="Arial"/>
                <w:sz w:val="18"/>
                <w:szCs w:val="18"/>
              </w:rPr>
              <w:t xml:space="preserve"> en supposant que 10% des</w:t>
            </w:r>
            <w:r w:rsidRPr="00F62D10">
              <w:rPr>
                <w:rFonts w:cs="Arial"/>
                <w:sz w:val="18"/>
                <w:szCs w:val="18"/>
              </w:rPr>
              <w:t xml:space="preserve"> patients éligibles </w:t>
            </w:r>
            <w:r>
              <w:rPr>
                <w:rFonts w:cs="Arial"/>
                <w:sz w:val="18"/>
                <w:szCs w:val="18"/>
              </w:rPr>
              <w:t>ne seront pas</w:t>
            </w:r>
            <w:r w:rsidRPr="00F62D10">
              <w:rPr>
                <w:rFonts w:cs="Arial"/>
                <w:sz w:val="18"/>
                <w:szCs w:val="18"/>
              </w:rPr>
              <w:t xml:space="preserve"> randomisés</w:t>
            </w:r>
            <w:r>
              <w:rPr>
                <w:rFonts w:cs="Arial"/>
                <w:sz w:val="18"/>
                <w:szCs w:val="18"/>
              </w:rPr>
              <w:t>.</w:t>
            </w:r>
          </w:p>
          <w:p w14:paraId="48BB48E4" w14:textId="77777777" w:rsidR="000D5600" w:rsidRPr="00F62D10" w:rsidRDefault="000D5600" w:rsidP="000D5600">
            <w:pPr>
              <w:jc w:val="left"/>
              <w:rPr>
                <w:rFonts w:cs="Arial"/>
                <w:sz w:val="18"/>
                <w:szCs w:val="18"/>
              </w:rPr>
            </w:pPr>
            <w:r>
              <w:rPr>
                <w:rFonts w:cs="Arial"/>
                <w:sz w:val="18"/>
                <w:szCs w:val="18"/>
              </w:rPr>
              <w:t>T</w:t>
            </w:r>
            <w:r w:rsidRPr="00F62D10">
              <w:rPr>
                <w:rFonts w:cs="Arial"/>
                <w:sz w:val="18"/>
                <w:szCs w:val="18"/>
              </w:rPr>
              <w:t>est du chi</w:t>
            </w:r>
            <w:r w:rsidRPr="00F62D10">
              <w:rPr>
                <w:rFonts w:cs="Arial"/>
                <w:sz w:val="18"/>
                <w:szCs w:val="18"/>
                <w:vertAlign w:val="superscript"/>
              </w:rPr>
              <w:t>2</w:t>
            </w:r>
            <w:r>
              <w:rPr>
                <w:rFonts w:cs="Arial"/>
                <w:sz w:val="18"/>
                <w:szCs w:val="18"/>
              </w:rPr>
              <w:t>,</w:t>
            </w:r>
            <w:r w:rsidRPr="00F62D10">
              <w:rPr>
                <w:rFonts w:cs="Arial"/>
                <w:sz w:val="18"/>
                <w:szCs w:val="18"/>
              </w:rPr>
              <w:t xml:space="preserve"> </w:t>
            </w:r>
            <w:r>
              <w:rPr>
                <w:rFonts w:cs="Arial"/>
                <w:sz w:val="18"/>
                <w:szCs w:val="18"/>
              </w:rPr>
              <w:t>α</w:t>
            </w:r>
            <w:r w:rsidRPr="00F62D10">
              <w:rPr>
                <w:rFonts w:cs="Arial"/>
                <w:sz w:val="18"/>
                <w:szCs w:val="18"/>
              </w:rPr>
              <w:t xml:space="preserve"> </w:t>
            </w:r>
            <w:r>
              <w:rPr>
                <w:rFonts w:cs="Arial"/>
                <w:sz w:val="18"/>
                <w:szCs w:val="18"/>
              </w:rPr>
              <w:t xml:space="preserve">= </w:t>
            </w:r>
            <w:r w:rsidRPr="00F62D10">
              <w:rPr>
                <w:rFonts w:cs="Arial"/>
                <w:sz w:val="18"/>
                <w:szCs w:val="18"/>
              </w:rPr>
              <w:t>0,05</w:t>
            </w:r>
            <w:r>
              <w:rPr>
                <w:rFonts w:cs="Arial"/>
                <w:sz w:val="18"/>
                <w:szCs w:val="18"/>
              </w:rPr>
              <w:t>,</w:t>
            </w:r>
            <w:r w:rsidRPr="00F62D10">
              <w:rPr>
                <w:rFonts w:cs="Arial"/>
                <w:sz w:val="18"/>
                <w:szCs w:val="18"/>
              </w:rPr>
              <w:t xml:space="preserve"> </w:t>
            </w:r>
            <w:r>
              <w:rPr>
                <w:rFonts w:cs="Arial"/>
                <w:sz w:val="18"/>
                <w:szCs w:val="18"/>
              </w:rPr>
              <w:t>β</w:t>
            </w:r>
            <w:r w:rsidRPr="00F62D10">
              <w:rPr>
                <w:rFonts w:cs="Arial"/>
                <w:sz w:val="18"/>
                <w:szCs w:val="18"/>
              </w:rPr>
              <w:t xml:space="preserve"> </w:t>
            </w:r>
            <w:r>
              <w:rPr>
                <w:rFonts w:cs="Arial"/>
                <w:sz w:val="18"/>
                <w:szCs w:val="18"/>
              </w:rPr>
              <w:t>= 80%</w:t>
            </w:r>
            <w:r w:rsidRPr="00F62D10">
              <w:rPr>
                <w:rFonts w:cs="Arial"/>
                <w:sz w:val="18"/>
                <w:szCs w:val="18"/>
              </w:rPr>
              <w:t xml:space="preserve"> </w:t>
            </w:r>
          </w:p>
        </w:tc>
      </w:tr>
      <w:tr w:rsidR="000D5600" w:rsidRPr="00F62D10" w14:paraId="2219B7AC" w14:textId="77777777" w:rsidTr="00EA50C2">
        <w:trPr>
          <w:trHeight w:val="1323"/>
        </w:trPr>
        <w:tc>
          <w:tcPr>
            <w:tcW w:w="2287" w:type="dxa"/>
            <w:shd w:val="clear" w:color="auto" w:fill="F3F3F3"/>
            <w:vAlign w:val="center"/>
          </w:tcPr>
          <w:p w14:paraId="0D3A2B78" w14:textId="77777777" w:rsidR="000D5600" w:rsidRPr="00F62D10" w:rsidRDefault="000D5600" w:rsidP="00EA50C2">
            <w:pPr>
              <w:jc w:val="left"/>
              <w:rPr>
                <w:rFonts w:cs="Arial"/>
                <w:b/>
                <w:sz w:val="18"/>
                <w:szCs w:val="18"/>
              </w:rPr>
            </w:pPr>
            <w:r w:rsidRPr="00F62D10">
              <w:rPr>
                <w:rFonts w:cs="Arial"/>
                <w:sz w:val="18"/>
                <w:szCs w:val="18"/>
              </w:rPr>
              <w:br w:type="page"/>
            </w:r>
            <w:r w:rsidRPr="00F62D10">
              <w:rPr>
                <w:rFonts w:cs="Arial"/>
                <w:b/>
                <w:sz w:val="18"/>
                <w:szCs w:val="18"/>
              </w:rPr>
              <w:t>Population d’analyse des résultats</w:t>
            </w:r>
          </w:p>
        </w:tc>
        <w:tc>
          <w:tcPr>
            <w:tcW w:w="7613" w:type="dxa"/>
            <w:vAlign w:val="center"/>
          </w:tcPr>
          <w:p w14:paraId="0BA2502C" w14:textId="77777777" w:rsidR="000D5600" w:rsidRPr="00F62D10" w:rsidRDefault="000D5600" w:rsidP="000D5600">
            <w:pPr>
              <w:rPr>
                <w:rFonts w:cs="Arial"/>
                <w:sz w:val="18"/>
                <w:szCs w:val="18"/>
              </w:rPr>
            </w:pPr>
            <w:r>
              <w:rPr>
                <w:rFonts w:cs="Arial"/>
                <w:sz w:val="18"/>
                <w:szCs w:val="18"/>
              </w:rPr>
              <w:t>Trois</w:t>
            </w:r>
            <w:r w:rsidRPr="00F62D10">
              <w:rPr>
                <w:rFonts w:cs="Arial"/>
                <w:sz w:val="18"/>
                <w:szCs w:val="18"/>
              </w:rPr>
              <w:t xml:space="preserve"> populations ont été analys</w:t>
            </w:r>
            <w:r>
              <w:rPr>
                <w:rFonts w:cs="Arial"/>
                <w:sz w:val="18"/>
                <w:szCs w:val="18"/>
              </w:rPr>
              <w:t>ée</w:t>
            </w:r>
            <w:r w:rsidRPr="00F62D10">
              <w:rPr>
                <w:rFonts w:cs="Arial"/>
                <w:sz w:val="18"/>
                <w:szCs w:val="18"/>
              </w:rPr>
              <w:t>s :</w:t>
            </w:r>
          </w:p>
          <w:p w14:paraId="6CEA5696" w14:textId="2E2FE95B" w:rsidR="000D5600" w:rsidRPr="0004286B" w:rsidRDefault="000D5600" w:rsidP="000D5600">
            <w:pPr>
              <w:numPr>
                <w:ilvl w:val="0"/>
                <w:numId w:val="18"/>
              </w:numPr>
              <w:ind w:left="195" w:hanging="142"/>
              <w:contextualSpacing/>
              <w:rPr>
                <w:rFonts w:cs="Arial"/>
                <w:color w:val="00B050"/>
                <w:sz w:val="18"/>
                <w:szCs w:val="18"/>
              </w:rPr>
            </w:pPr>
            <w:r w:rsidRPr="00F62D10">
              <w:rPr>
                <w:rFonts w:cs="Arial"/>
                <w:sz w:val="18"/>
                <w:szCs w:val="18"/>
              </w:rPr>
              <w:t>Population en intention de traiter (ITT</w:t>
            </w:r>
            <w:r w:rsidRPr="00585667">
              <w:rPr>
                <w:rFonts w:cs="Arial"/>
                <w:sz w:val="18"/>
                <w:szCs w:val="18"/>
                <w:vertAlign w:val="subscript"/>
              </w:rPr>
              <w:t>m</w:t>
            </w:r>
            <w:r w:rsidRPr="00585667">
              <w:rPr>
                <w:sz w:val="18"/>
                <w:szCs w:val="18"/>
                <w:vertAlign w:val="subscript"/>
              </w:rPr>
              <w:t>odifiée</w:t>
            </w:r>
            <w:r w:rsidRPr="00F62D10">
              <w:rPr>
                <w:rFonts w:cs="Arial"/>
                <w:sz w:val="18"/>
                <w:szCs w:val="18"/>
              </w:rPr>
              <w:t>) : patients randomisés ayant reçu au moins une dose de méthadone et ayant un score de douleur à l’inclusion</w:t>
            </w:r>
          </w:p>
          <w:p w14:paraId="7508B7F1" w14:textId="77777777" w:rsidR="000D5600" w:rsidRPr="00F62D10" w:rsidRDefault="000D5600" w:rsidP="000D5600">
            <w:pPr>
              <w:numPr>
                <w:ilvl w:val="0"/>
                <w:numId w:val="18"/>
              </w:numPr>
              <w:ind w:left="195" w:hanging="142"/>
              <w:contextualSpacing/>
              <w:rPr>
                <w:rFonts w:cs="Arial"/>
                <w:sz w:val="18"/>
                <w:szCs w:val="18"/>
              </w:rPr>
            </w:pPr>
            <w:r w:rsidRPr="00F62D10">
              <w:rPr>
                <w:rFonts w:cs="Arial"/>
                <w:sz w:val="18"/>
                <w:szCs w:val="18"/>
              </w:rPr>
              <w:t xml:space="preserve">Population </w:t>
            </w:r>
            <w:r w:rsidRPr="00F62D10">
              <w:rPr>
                <w:rFonts w:cs="Arial"/>
                <w:i/>
                <w:sz w:val="18"/>
                <w:szCs w:val="18"/>
              </w:rPr>
              <w:t>per protocole</w:t>
            </w:r>
            <w:r w:rsidRPr="00F62D10">
              <w:rPr>
                <w:rFonts w:cs="Arial"/>
                <w:sz w:val="18"/>
                <w:szCs w:val="18"/>
              </w:rPr>
              <w:t xml:space="preserve"> (PP) : patients sans</w:t>
            </w:r>
            <w:r>
              <w:rPr>
                <w:rFonts w:cs="Arial"/>
                <w:sz w:val="18"/>
                <w:szCs w:val="18"/>
              </w:rPr>
              <w:t xml:space="preserve"> violation majeure au protocole</w:t>
            </w:r>
          </w:p>
          <w:p w14:paraId="6A8597B4" w14:textId="77777777" w:rsidR="000D5600" w:rsidRPr="00F62D10" w:rsidRDefault="000D5600" w:rsidP="000D5600">
            <w:pPr>
              <w:numPr>
                <w:ilvl w:val="0"/>
                <w:numId w:val="18"/>
              </w:numPr>
              <w:ind w:left="195" w:hanging="142"/>
              <w:contextualSpacing/>
              <w:rPr>
                <w:rFonts w:cs="Arial"/>
                <w:sz w:val="18"/>
                <w:szCs w:val="18"/>
              </w:rPr>
            </w:pPr>
            <w:r w:rsidRPr="00F62D10">
              <w:rPr>
                <w:rFonts w:cs="Arial"/>
                <w:sz w:val="18"/>
                <w:szCs w:val="18"/>
              </w:rPr>
              <w:t>Population de tolérance : patients randomisés ayant reçu</w:t>
            </w:r>
            <w:r>
              <w:rPr>
                <w:rFonts w:cs="Arial"/>
                <w:sz w:val="18"/>
                <w:szCs w:val="18"/>
              </w:rPr>
              <w:t xml:space="preserve"> au moins une dose de méthadone</w:t>
            </w:r>
          </w:p>
        </w:tc>
      </w:tr>
    </w:tbl>
    <w:p w14:paraId="4FA80ECF" w14:textId="77777777" w:rsidR="00AF1258" w:rsidRDefault="00AF1258" w:rsidP="00537F80">
      <w:pPr>
        <w:rPr>
          <w:highlight w:val="yellow"/>
          <w:u w:val="single"/>
        </w:rPr>
      </w:pPr>
    </w:p>
    <w:p w14:paraId="7D4D066B" w14:textId="77777777" w:rsidR="00551338" w:rsidRDefault="00551338" w:rsidP="00537F80">
      <w:pPr>
        <w:rPr>
          <w:szCs w:val="22"/>
          <w:u w:val="single"/>
        </w:rPr>
      </w:pPr>
      <w:r w:rsidRPr="004B6778">
        <w:rPr>
          <w:b/>
          <w:szCs w:val="22"/>
        </w:rPr>
        <w:t>Résultats</w:t>
      </w:r>
      <w:r w:rsidR="00C73484" w:rsidRPr="006D00A4">
        <w:rPr>
          <w:szCs w:val="22"/>
        </w:rPr>
        <w:t> </w:t>
      </w:r>
      <w:r w:rsidR="00C73484" w:rsidRPr="00EA50C2">
        <w:rPr>
          <w:b/>
          <w:szCs w:val="22"/>
        </w:rPr>
        <w:t>:</w:t>
      </w:r>
    </w:p>
    <w:p w14:paraId="0EFC344E" w14:textId="77777777" w:rsidR="00C73484" w:rsidRDefault="00C73484" w:rsidP="00537F80">
      <w:pPr>
        <w:rPr>
          <w:szCs w:val="22"/>
          <w:u w:val="single"/>
        </w:rPr>
      </w:pPr>
    </w:p>
    <w:p w14:paraId="7C6F4A81" w14:textId="77777777" w:rsidR="00C73484" w:rsidRPr="004B6778" w:rsidRDefault="00C73484" w:rsidP="00C628D5">
      <w:pPr>
        <w:pStyle w:val="Paragraphedeliste"/>
        <w:numPr>
          <w:ilvl w:val="0"/>
          <w:numId w:val="26"/>
        </w:numPr>
        <w:ind w:left="284" w:hanging="284"/>
        <w:rPr>
          <w:szCs w:val="22"/>
          <w:u w:val="single"/>
        </w:rPr>
      </w:pPr>
      <w:r w:rsidRPr="004B6778">
        <w:rPr>
          <w:szCs w:val="22"/>
          <w:u w:val="single"/>
        </w:rPr>
        <w:t xml:space="preserve">Effectifs </w:t>
      </w:r>
    </w:p>
    <w:p w14:paraId="548A4394" w14:textId="77777777" w:rsidR="00C73484" w:rsidRDefault="006D00A4" w:rsidP="00C628D5">
      <w:pPr>
        <w:ind w:left="284" w:hanging="284"/>
        <w:rPr>
          <w:rFonts w:cs="Arial"/>
          <w:szCs w:val="22"/>
        </w:rPr>
      </w:pPr>
      <w:r>
        <w:rPr>
          <w:rFonts w:cs="Arial"/>
          <w:szCs w:val="22"/>
        </w:rPr>
        <w:t xml:space="preserve">Au total, </w:t>
      </w:r>
      <w:r w:rsidR="00551338" w:rsidRPr="00AF1258">
        <w:rPr>
          <w:rFonts w:cs="Arial"/>
          <w:szCs w:val="22"/>
        </w:rPr>
        <w:t xml:space="preserve">146 patients </w:t>
      </w:r>
      <w:r>
        <w:rPr>
          <w:rFonts w:cs="Arial"/>
          <w:szCs w:val="22"/>
        </w:rPr>
        <w:t xml:space="preserve">ont été </w:t>
      </w:r>
      <w:r w:rsidR="00551338" w:rsidRPr="00AF1258">
        <w:rPr>
          <w:rFonts w:cs="Arial"/>
          <w:szCs w:val="22"/>
        </w:rPr>
        <w:t>randomisés</w:t>
      </w:r>
      <w:r>
        <w:rPr>
          <w:rFonts w:cs="Arial"/>
          <w:szCs w:val="22"/>
        </w:rPr>
        <w:t>.</w:t>
      </w:r>
      <w:r w:rsidR="00551338" w:rsidRPr="00AF1258">
        <w:rPr>
          <w:rFonts w:cs="Arial"/>
          <w:szCs w:val="22"/>
        </w:rPr>
        <w:t xml:space="preserve"> </w:t>
      </w:r>
    </w:p>
    <w:p w14:paraId="574F6366" w14:textId="77777777" w:rsidR="006D00A4" w:rsidRDefault="006D00A4" w:rsidP="00C628D5">
      <w:pPr>
        <w:ind w:left="284" w:hanging="284"/>
        <w:rPr>
          <w:rFonts w:cs="Arial"/>
          <w:szCs w:val="22"/>
        </w:rPr>
      </w:pPr>
    </w:p>
    <w:p w14:paraId="1BA529B5" w14:textId="77777777" w:rsidR="003F21C8" w:rsidRPr="004B6778" w:rsidRDefault="00C73484" w:rsidP="00C628D5">
      <w:pPr>
        <w:pStyle w:val="Paragraphedeliste"/>
        <w:numPr>
          <w:ilvl w:val="0"/>
          <w:numId w:val="26"/>
        </w:numPr>
        <w:ind w:left="284" w:hanging="284"/>
        <w:rPr>
          <w:rFonts w:cs="Arial"/>
          <w:szCs w:val="22"/>
          <w:u w:val="single"/>
        </w:rPr>
      </w:pPr>
      <w:r w:rsidRPr="004B6778">
        <w:rPr>
          <w:rFonts w:cs="Arial"/>
          <w:szCs w:val="22"/>
          <w:u w:val="single"/>
        </w:rPr>
        <w:t>Caractéristiques des patients à l’inclusion</w:t>
      </w:r>
    </w:p>
    <w:p w14:paraId="0135D87F" w14:textId="77777777" w:rsidR="005D0D49" w:rsidRDefault="00A63D9C" w:rsidP="00AF1258">
      <w:pPr>
        <w:rPr>
          <w:rFonts w:cs="Arial"/>
          <w:szCs w:val="22"/>
        </w:rPr>
      </w:pPr>
      <w:r>
        <w:rPr>
          <w:rFonts w:cs="Arial"/>
          <w:szCs w:val="22"/>
        </w:rPr>
        <w:t xml:space="preserve">Les patients avaient </w:t>
      </w:r>
      <w:r w:rsidR="008C3B47">
        <w:rPr>
          <w:rFonts w:cs="Arial"/>
          <w:szCs w:val="22"/>
        </w:rPr>
        <w:t xml:space="preserve">un âge moyen de </w:t>
      </w:r>
      <w:r w:rsidR="005B1FB6">
        <w:rPr>
          <w:rFonts w:cs="Arial"/>
          <w:szCs w:val="22"/>
        </w:rPr>
        <w:t>57,5</w:t>
      </w:r>
      <w:r w:rsidR="008C3B47">
        <w:rPr>
          <w:rFonts w:cs="Arial"/>
          <w:szCs w:val="22"/>
        </w:rPr>
        <w:t xml:space="preserve"> </w:t>
      </w:r>
      <w:r w:rsidR="000544F7">
        <w:rPr>
          <w:rFonts w:cs="Arial"/>
          <w:szCs w:val="22"/>
        </w:rPr>
        <w:t xml:space="preserve">ans </w:t>
      </w:r>
      <w:r w:rsidR="008C3B47">
        <w:rPr>
          <w:rFonts w:cs="Arial"/>
          <w:szCs w:val="22"/>
        </w:rPr>
        <w:t>(</w:t>
      </w:r>
      <w:r w:rsidR="005B1FB6">
        <w:rPr>
          <w:rFonts w:cs="Arial"/>
          <w:szCs w:val="22"/>
        </w:rPr>
        <w:t>± 11 ans</w:t>
      </w:r>
      <w:r w:rsidR="008C3B47">
        <w:rPr>
          <w:rFonts w:cs="Arial"/>
          <w:szCs w:val="22"/>
        </w:rPr>
        <w:t>)</w:t>
      </w:r>
      <w:r w:rsidR="00913F7D">
        <w:rPr>
          <w:rFonts w:cs="Arial"/>
          <w:szCs w:val="22"/>
        </w:rPr>
        <w:t xml:space="preserve"> (</w:t>
      </w:r>
      <w:r w:rsidR="00107236">
        <w:rPr>
          <w:rFonts w:cs="Arial"/>
          <w:szCs w:val="22"/>
        </w:rPr>
        <w:t>21 à 87 ans)</w:t>
      </w:r>
      <w:r w:rsidR="008C3B47">
        <w:rPr>
          <w:rFonts w:cs="Arial"/>
          <w:szCs w:val="22"/>
        </w:rPr>
        <w:t>.</w:t>
      </w:r>
      <w:r w:rsidR="005B1FB6">
        <w:rPr>
          <w:rFonts w:cs="Arial"/>
          <w:szCs w:val="22"/>
        </w:rPr>
        <w:t xml:space="preserve"> </w:t>
      </w:r>
    </w:p>
    <w:p w14:paraId="6E5F092D" w14:textId="77777777" w:rsidR="00D72C3F" w:rsidRDefault="005D0D49" w:rsidP="00AF1258">
      <w:pPr>
        <w:rPr>
          <w:rFonts w:cs="Arial"/>
          <w:szCs w:val="22"/>
        </w:rPr>
      </w:pPr>
      <w:r>
        <w:rPr>
          <w:rFonts w:cs="Arial"/>
          <w:szCs w:val="22"/>
        </w:rPr>
        <w:t>L</w:t>
      </w:r>
      <w:r w:rsidR="00FD009D">
        <w:rPr>
          <w:rFonts w:cs="Arial"/>
          <w:szCs w:val="22"/>
        </w:rPr>
        <w:t>es</w:t>
      </w:r>
      <w:r>
        <w:rPr>
          <w:rFonts w:cs="Arial"/>
          <w:szCs w:val="22"/>
        </w:rPr>
        <w:t xml:space="preserve"> localisation</w:t>
      </w:r>
      <w:r w:rsidR="00FD009D">
        <w:rPr>
          <w:rFonts w:cs="Arial"/>
          <w:szCs w:val="22"/>
        </w:rPr>
        <w:t>s</w:t>
      </w:r>
      <w:r>
        <w:rPr>
          <w:rFonts w:cs="Arial"/>
          <w:szCs w:val="22"/>
        </w:rPr>
        <w:t xml:space="preserve"> primitive</w:t>
      </w:r>
      <w:r w:rsidR="00FD009D">
        <w:rPr>
          <w:rFonts w:cs="Arial"/>
          <w:szCs w:val="22"/>
        </w:rPr>
        <w:t>s</w:t>
      </w:r>
      <w:r>
        <w:rPr>
          <w:rFonts w:cs="Arial"/>
          <w:szCs w:val="22"/>
        </w:rPr>
        <w:t xml:space="preserve"> du cancer </w:t>
      </w:r>
      <w:r w:rsidR="00FD009D">
        <w:rPr>
          <w:rFonts w:cs="Arial"/>
          <w:szCs w:val="22"/>
        </w:rPr>
        <w:t xml:space="preserve">les plus fréquentes </w:t>
      </w:r>
      <w:r>
        <w:rPr>
          <w:rFonts w:cs="Arial"/>
          <w:szCs w:val="22"/>
        </w:rPr>
        <w:t>étai</w:t>
      </w:r>
      <w:r w:rsidR="00FD009D">
        <w:rPr>
          <w:rFonts w:cs="Arial"/>
          <w:szCs w:val="22"/>
        </w:rPr>
        <w:t>en</w:t>
      </w:r>
      <w:r>
        <w:rPr>
          <w:rFonts w:cs="Arial"/>
          <w:szCs w:val="22"/>
        </w:rPr>
        <w:t>t</w:t>
      </w:r>
      <w:r w:rsidR="00FD009D">
        <w:rPr>
          <w:rFonts w:cs="Arial"/>
          <w:szCs w:val="22"/>
        </w:rPr>
        <w:t> :</w:t>
      </w:r>
      <w:r>
        <w:rPr>
          <w:rFonts w:cs="Arial"/>
          <w:szCs w:val="22"/>
        </w:rPr>
        <w:t xml:space="preserve"> </w:t>
      </w:r>
      <w:r w:rsidR="00C93171">
        <w:rPr>
          <w:rFonts w:cs="Arial"/>
          <w:szCs w:val="22"/>
        </w:rPr>
        <w:t xml:space="preserve">poumon (21%), sein </w:t>
      </w:r>
      <w:r w:rsidR="00FD009D">
        <w:rPr>
          <w:rFonts w:cs="Arial"/>
          <w:szCs w:val="22"/>
        </w:rPr>
        <w:t>(</w:t>
      </w:r>
      <w:r w:rsidR="00C93171">
        <w:rPr>
          <w:rFonts w:cs="Arial"/>
          <w:szCs w:val="22"/>
        </w:rPr>
        <w:t xml:space="preserve">13%), </w:t>
      </w:r>
      <w:r w:rsidR="00FD009D">
        <w:rPr>
          <w:rFonts w:cs="Arial"/>
          <w:szCs w:val="22"/>
        </w:rPr>
        <w:t xml:space="preserve">ORL (16%), pancréas (13%). Le cancer était </w:t>
      </w:r>
      <w:r w:rsidR="00C93171">
        <w:rPr>
          <w:rFonts w:cs="Arial"/>
          <w:szCs w:val="22"/>
        </w:rPr>
        <w:t>nouvellement diagnostiqué dans 60% des cas, métastatique dans 75% des cas</w:t>
      </w:r>
      <w:r w:rsidR="00FD009D">
        <w:rPr>
          <w:rFonts w:cs="Arial"/>
          <w:szCs w:val="22"/>
        </w:rPr>
        <w:t xml:space="preserve">. </w:t>
      </w:r>
      <w:r w:rsidR="00C93171">
        <w:rPr>
          <w:rFonts w:cs="Arial"/>
          <w:szCs w:val="22"/>
        </w:rPr>
        <w:t xml:space="preserve"> </w:t>
      </w:r>
    </w:p>
    <w:p w14:paraId="2A3DBC94" w14:textId="5CA62ED2" w:rsidR="00DA5D02" w:rsidRDefault="00D72C3F" w:rsidP="00AF1258">
      <w:pPr>
        <w:rPr>
          <w:rFonts w:cs="Arial"/>
          <w:szCs w:val="22"/>
        </w:rPr>
      </w:pPr>
      <w:r>
        <w:rPr>
          <w:rFonts w:cs="Arial"/>
          <w:szCs w:val="22"/>
        </w:rPr>
        <w:t>Le temps écoulé médian depuis le diagnostic était de 2 ans (0,1-22 ans).</w:t>
      </w:r>
    </w:p>
    <w:p w14:paraId="1D78399B" w14:textId="06FAE617" w:rsidR="009F1403" w:rsidRPr="00E65F8A" w:rsidRDefault="005B1FB6" w:rsidP="00AF1258">
      <w:pPr>
        <w:rPr>
          <w:rFonts w:cs="Arial"/>
          <w:szCs w:val="22"/>
        </w:rPr>
      </w:pPr>
      <w:r>
        <w:rPr>
          <w:rFonts w:cs="Arial"/>
          <w:szCs w:val="22"/>
        </w:rPr>
        <w:t>L</w:t>
      </w:r>
      <w:r w:rsidRPr="00AF1258">
        <w:rPr>
          <w:rFonts w:cs="Arial"/>
          <w:szCs w:val="22"/>
        </w:rPr>
        <w:t>es scores ECOG</w:t>
      </w:r>
      <w:r>
        <w:rPr>
          <w:rStyle w:val="Appelnotedebasdep"/>
          <w:rFonts w:cs="Arial"/>
          <w:szCs w:val="22"/>
        </w:rPr>
        <w:footnoteReference w:id="12"/>
      </w:r>
      <w:r w:rsidRPr="00AF1258">
        <w:rPr>
          <w:rFonts w:cs="Arial"/>
          <w:szCs w:val="22"/>
        </w:rPr>
        <w:t xml:space="preserve"> </w:t>
      </w:r>
      <w:r w:rsidR="008C3B47">
        <w:rPr>
          <w:rFonts w:cs="Arial"/>
          <w:szCs w:val="22"/>
        </w:rPr>
        <w:t xml:space="preserve">les plus fréquents </w:t>
      </w:r>
      <w:r w:rsidRPr="00AF1258">
        <w:rPr>
          <w:rFonts w:cs="Arial"/>
          <w:szCs w:val="22"/>
        </w:rPr>
        <w:t xml:space="preserve">étaient de 2 (36% groupe </w:t>
      </w:r>
      <w:r w:rsidR="00107236">
        <w:rPr>
          <w:rFonts w:cs="Arial"/>
          <w:szCs w:val="22"/>
        </w:rPr>
        <w:t>A</w:t>
      </w:r>
      <w:r w:rsidRPr="00AF1258">
        <w:rPr>
          <w:rFonts w:cs="Arial"/>
          <w:szCs w:val="22"/>
        </w:rPr>
        <w:t xml:space="preserve"> et 32% groupe </w:t>
      </w:r>
      <w:r w:rsidR="00107236">
        <w:rPr>
          <w:rFonts w:cs="Arial"/>
          <w:szCs w:val="22"/>
        </w:rPr>
        <w:t>B</w:t>
      </w:r>
      <w:r w:rsidR="008C3B47">
        <w:rPr>
          <w:rFonts w:cs="Arial"/>
          <w:szCs w:val="22"/>
        </w:rPr>
        <w:t>)</w:t>
      </w:r>
      <w:r w:rsidRPr="00AF1258">
        <w:rPr>
          <w:rFonts w:cs="Arial"/>
          <w:szCs w:val="22"/>
        </w:rPr>
        <w:t xml:space="preserve"> ou de 3 (</w:t>
      </w:r>
      <w:r w:rsidR="008C3B47">
        <w:rPr>
          <w:rFonts w:cs="Arial"/>
          <w:szCs w:val="22"/>
        </w:rPr>
        <w:t>respectivement</w:t>
      </w:r>
      <w:r w:rsidR="008C3B47" w:rsidRPr="00AF1258">
        <w:rPr>
          <w:rFonts w:cs="Arial"/>
          <w:szCs w:val="22"/>
        </w:rPr>
        <w:t xml:space="preserve"> </w:t>
      </w:r>
      <w:r w:rsidRPr="00AF1258">
        <w:rPr>
          <w:rFonts w:cs="Arial"/>
          <w:szCs w:val="22"/>
        </w:rPr>
        <w:t>33% et 36%</w:t>
      </w:r>
      <w:r>
        <w:rPr>
          <w:rFonts w:cs="Arial"/>
          <w:szCs w:val="22"/>
        </w:rPr>
        <w:t xml:space="preserve">). La </w:t>
      </w:r>
      <w:r w:rsidRPr="00AF1258">
        <w:rPr>
          <w:rFonts w:cs="Arial"/>
          <w:szCs w:val="22"/>
        </w:rPr>
        <w:t>douleur était de type mixte (nociceptif/neuropathique) dans 84% des cas</w:t>
      </w:r>
      <w:r w:rsidR="00117BE4">
        <w:rPr>
          <w:rFonts w:cs="Arial"/>
          <w:szCs w:val="22"/>
        </w:rPr>
        <w:t> ;</w:t>
      </w:r>
      <w:r>
        <w:rPr>
          <w:rFonts w:cs="Arial"/>
          <w:szCs w:val="22"/>
        </w:rPr>
        <w:t xml:space="preserve"> le score moyen</w:t>
      </w:r>
      <w:r w:rsidRPr="00AF1258">
        <w:rPr>
          <w:rFonts w:cs="Arial"/>
          <w:szCs w:val="22"/>
        </w:rPr>
        <w:t xml:space="preserve"> de la douleur avant la </w:t>
      </w:r>
      <w:r w:rsidRPr="00E65F8A">
        <w:rPr>
          <w:rFonts w:cs="Arial"/>
          <w:szCs w:val="22"/>
        </w:rPr>
        <w:t>randomisation étai</w:t>
      </w:r>
      <w:r w:rsidR="005C38EC">
        <w:rPr>
          <w:rFonts w:cs="Arial"/>
          <w:szCs w:val="22"/>
        </w:rPr>
        <w:t>t</w:t>
      </w:r>
      <w:r w:rsidRPr="00E65F8A">
        <w:rPr>
          <w:rFonts w:cs="Arial"/>
          <w:szCs w:val="22"/>
        </w:rPr>
        <w:t xml:space="preserve"> de 5,61 dans le groupe </w:t>
      </w:r>
      <w:r w:rsidR="00107236">
        <w:rPr>
          <w:rFonts w:cs="Arial"/>
          <w:szCs w:val="22"/>
        </w:rPr>
        <w:t>A</w:t>
      </w:r>
      <w:r w:rsidRPr="00E65F8A">
        <w:rPr>
          <w:rFonts w:cs="Arial"/>
          <w:szCs w:val="22"/>
        </w:rPr>
        <w:t xml:space="preserve"> et 6,24 dans le groupe </w:t>
      </w:r>
      <w:r w:rsidR="00107236">
        <w:rPr>
          <w:rFonts w:cs="Arial"/>
          <w:szCs w:val="22"/>
        </w:rPr>
        <w:t>B</w:t>
      </w:r>
      <w:r w:rsidRPr="00E65F8A">
        <w:rPr>
          <w:rFonts w:cs="Arial"/>
          <w:szCs w:val="22"/>
        </w:rPr>
        <w:t xml:space="preserve">. </w:t>
      </w:r>
      <w:r w:rsidR="00C73484" w:rsidRPr="00E65F8A">
        <w:rPr>
          <w:rFonts w:cs="Arial"/>
          <w:szCs w:val="22"/>
        </w:rPr>
        <w:t>La douleur</w:t>
      </w:r>
      <w:r w:rsidRPr="00E65F8A">
        <w:rPr>
          <w:rFonts w:cs="Arial"/>
          <w:szCs w:val="22"/>
        </w:rPr>
        <w:t xml:space="preserve"> avait été diagnostiquée depuis 334 jours</w:t>
      </w:r>
      <w:r w:rsidR="00107236" w:rsidRPr="00107236">
        <w:rPr>
          <w:rFonts w:cs="Arial"/>
          <w:szCs w:val="22"/>
        </w:rPr>
        <w:t xml:space="preserve"> </w:t>
      </w:r>
      <w:r w:rsidR="00107236" w:rsidRPr="00E65F8A">
        <w:rPr>
          <w:rFonts w:cs="Arial"/>
          <w:szCs w:val="22"/>
        </w:rPr>
        <w:t>en médiane</w:t>
      </w:r>
      <w:r w:rsidRPr="00E65F8A">
        <w:rPr>
          <w:rFonts w:cs="Arial"/>
          <w:szCs w:val="22"/>
        </w:rPr>
        <w:t xml:space="preserve">. </w:t>
      </w:r>
    </w:p>
    <w:p w14:paraId="2793ADF0" w14:textId="77777777" w:rsidR="00107236" w:rsidRDefault="00107236" w:rsidP="00E65F8A">
      <w:pPr>
        <w:rPr>
          <w:rFonts w:cs="Arial"/>
          <w:szCs w:val="22"/>
        </w:rPr>
      </w:pPr>
    </w:p>
    <w:p w14:paraId="02C69874" w14:textId="77777777" w:rsidR="006E3BFB" w:rsidRDefault="005B1FB6" w:rsidP="00AF1258">
      <w:pPr>
        <w:rPr>
          <w:rFonts w:cs="Arial"/>
          <w:szCs w:val="22"/>
        </w:rPr>
      </w:pPr>
      <w:r w:rsidRPr="00E16E7D">
        <w:rPr>
          <w:rFonts w:cs="Arial"/>
          <w:szCs w:val="22"/>
        </w:rPr>
        <w:t xml:space="preserve">Au total, </w:t>
      </w:r>
      <w:r w:rsidR="00AF1258" w:rsidRPr="00E16E7D">
        <w:rPr>
          <w:rFonts w:cs="Arial"/>
          <w:szCs w:val="22"/>
        </w:rPr>
        <w:t>85,4% des patients ont eu des ép</w:t>
      </w:r>
      <w:r w:rsidR="003F21C8" w:rsidRPr="00E16E7D">
        <w:rPr>
          <w:rFonts w:cs="Arial"/>
          <w:szCs w:val="22"/>
        </w:rPr>
        <w:t>isodes de douleur paroxystique.</w:t>
      </w:r>
      <w:r w:rsidRPr="00E16E7D">
        <w:rPr>
          <w:rFonts w:cs="Arial"/>
          <w:szCs w:val="22"/>
        </w:rPr>
        <w:t xml:space="preserve"> </w:t>
      </w:r>
    </w:p>
    <w:p w14:paraId="30D91034" w14:textId="3B313104" w:rsidR="004350DF" w:rsidRPr="00E16E7D" w:rsidRDefault="00107236" w:rsidP="00AF1258">
      <w:pPr>
        <w:rPr>
          <w:rFonts w:cs="Arial"/>
          <w:szCs w:val="22"/>
        </w:rPr>
      </w:pPr>
      <w:r w:rsidRPr="00E16E7D">
        <w:rPr>
          <w:rFonts w:cs="Arial"/>
          <w:bCs/>
          <w:szCs w:val="22"/>
          <w:shd w:val="clear" w:color="auto" w:fill="FFFFFF"/>
        </w:rPr>
        <w:t>S</w:t>
      </w:r>
      <w:r w:rsidR="000F75C6" w:rsidRPr="00E16E7D">
        <w:rPr>
          <w:rFonts w:cs="Arial"/>
          <w:bCs/>
          <w:szCs w:val="22"/>
          <w:shd w:val="clear" w:color="auto" w:fill="FFFFFF"/>
        </w:rPr>
        <w:t xml:space="preserve">euls 70% des patients avaient </w:t>
      </w:r>
      <w:r w:rsidR="00DF74F2" w:rsidRPr="00E16E7D">
        <w:rPr>
          <w:rFonts w:cs="Arial"/>
          <w:bCs/>
          <w:szCs w:val="22"/>
          <w:shd w:val="clear" w:color="auto" w:fill="FFFFFF"/>
        </w:rPr>
        <w:t xml:space="preserve">antérieurement </w:t>
      </w:r>
      <w:r w:rsidR="000F75C6" w:rsidRPr="00E16E7D">
        <w:rPr>
          <w:rFonts w:cs="Arial"/>
          <w:bCs/>
          <w:szCs w:val="22"/>
          <w:shd w:val="clear" w:color="auto" w:fill="FFFFFF"/>
        </w:rPr>
        <w:t xml:space="preserve">reçu </w:t>
      </w:r>
      <w:r w:rsidRPr="00E16E7D">
        <w:rPr>
          <w:rFonts w:cs="Arial"/>
          <w:bCs/>
          <w:szCs w:val="22"/>
          <w:shd w:val="clear" w:color="auto" w:fill="FFFFFF"/>
        </w:rPr>
        <w:t xml:space="preserve">dans les 12 derniers mois </w:t>
      </w:r>
      <w:r w:rsidR="00E16E7D">
        <w:rPr>
          <w:rFonts w:cs="Arial"/>
          <w:bCs/>
          <w:szCs w:val="22"/>
          <w:shd w:val="clear" w:color="auto" w:fill="FFFFFF"/>
        </w:rPr>
        <w:t xml:space="preserve">un opioïde de </w:t>
      </w:r>
      <w:r w:rsidR="000F75C6" w:rsidRPr="00E16E7D">
        <w:rPr>
          <w:rFonts w:cs="Arial"/>
          <w:bCs/>
          <w:szCs w:val="22"/>
          <w:shd w:val="clear" w:color="auto" w:fill="FFFFFF"/>
        </w:rPr>
        <w:t xml:space="preserve">palier </w:t>
      </w:r>
      <w:r w:rsidR="00FD0660">
        <w:rPr>
          <w:rFonts w:cs="Arial"/>
          <w:bCs/>
          <w:szCs w:val="22"/>
          <w:shd w:val="clear" w:color="auto" w:fill="FFFFFF"/>
        </w:rPr>
        <w:t>III</w:t>
      </w:r>
      <w:r w:rsidR="006E3BFB">
        <w:rPr>
          <w:rFonts w:cs="Arial"/>
          <w:bCs/>
          <w:szCs w:val="22"/>
          <w:shd w:val="clear" w:color="auto" w:fill="FFFFFF"/>
        </w:rPr>
        <w:t xml:space="preserve"> ; ces patients avaient </w:t>
      </w:r>
      <w:r w:rsidR="00E16E7D" w:rsidRPr="00E16E7D">
        <w:rPr>
          <w:rFonts w:cs="Arial"/>
          <w:bCs/>
          <w:szCs w:val="22"/>
          <w:shd w:val="clear" w:color="auto" w:fill="FFFFFF"/>
        </w:rPr>
        <w:t>bén</w:t>
      </w:r>
      <w:r w:rsidR="00E16E7D">
        <w:rPr>
          <w:rFonts w:cs="Arial"/>
          <w:bCs/>
          <w:szCs w:val="22"/>
          <w:shd w:val="clear" w:color="auto" w:fill="FFFFFF"/>
        </w:rPr>
        <w:t>é</w:t>
      </w:r>
      <w:r w:rsidR="00E16E7D" w:rsidRPr="00E16E7D">
        <w:rPr>
          <w:rFonts w:cs="Arial"/>
          <w:bCs/>
          <w:szCs w:val="22"/>
          <w:shd w:val="clear" w:color="auto" w:fill="FFFFFF"/>
        </w:rPr>
        <w:t>ficié d’au moins une rotation d’opioïde avant lors inclusion dans l’</w:t>
      </w:r>
      <w:r w:rsidR="00E16E7D">
        <w:rPr>
          <w:rFonts w:cs="Arial"/>
          <w:bCs/>
          <w:szCs w:val="22"/>
          <w:shd w:val="clear" w:color="auto" w:fill="FFFFFF"/>
        </w:rPr>
        <w:t>é</w:t>
      </w:r>
      <w:r w:rsidR="00E16E7D" w:rsidRPr="00E16E7D">
        <w:rPr>
          <w:rFonts w:cs="Arial"/>
          <w:bCs/>
          <w:szCs w:val="22"/>
          <w:shd w:val="clear" w:color="auto" w:fill="FFFFFF"/>
        </w:rPr>
        <w:t xml:space="preserve">tude. </w:t>
      </w:r>
      <w:r w:rsidR="004350DF" w:rsidRPr="00E16E7D">
        <w:rPr>
          <w:rFonts w:cs="Arial"/>
          <w:bCs/>
          <w:szCs w:val="22"/>
          <w:shd w:val="clear" w:color="auto" w:fill="FFFFFF"/>
        </w:rPr>
        <w:t xml:space="preserve">Pour </w:t>
      </w:r>
      <w:r w:rsidR="000F75C6" w:rsidRPr="00E16E7D">
        <w:rPr>
          <w:rFonts w:cs="Arial"/>
          <w:bCs/>
          <w:szCs w:val="22"/>
          <w:shd w:val="clear" w:color="auto" w:fill="FFFFFF"/>
        </w:rPr>
        <w:t>30% des patients</w:t>
      </w:r>
      <w:r w:rsidR="004350DF" w:rsidRPr="00E16E7D">
        <w:rPr>
          <w:rFonts w:cs="Arial"/>
          <w:bCs/>
          <w:szCs w:val="22"/>
          <w:shd w:val="clear" w:color="auto" w:fill="FFFFFF"/>
        </w:rPr>
        <w:t xml:space="preserve">, le traitement par méthadone instauré après inclusion était </w:t>
      </w:r>
      <w:r w:rsidR="000F75C6" w:rsidRPr="00E16E7D">
        <w:rPr>
          <w:rFonts w:cs="Arial"/>
          <w:bCs/>
          <w:szCs w:val="22"/>
          <w:shd w:val="clear" w:color="auto" w:fill="FFFFFF"/>
        </w:rPr>
        <w:t>une première rotation d'opioïde.</w:t>
      </w:r>
      <w:r w:rsidR="000F75C6" w:rsidRPr="00E16E7D">
        <w:rPr>
          <w:rFonts w:ascii="Calibri" w:hAnsi="Calibri" w:cs="Calibri"/>
          <w:szCs w:val="22"/>
          <w:shd w:val="clear" w:color="auto" w:fill="FFFFFF"/>
        </w:rPr>
        <w:t xml:space="preserve"> </w:t>
      </w:r>
    </w:p>
    <w:p w14:paraId="0C1D217F" w14:textId="77777777" w:rsidR="00E16E7D" w:rsidRDefault="00E16E7D" w:rsidP="00AF1258">
      <w:pPr>
        <w:rPr>
          <w:rFonts w:cs="Arial"/>
          <w:szCs w:val="22"/>
        </w:rPr>
      </w:pPr>
    </w:p>
    <w:p w14:paraId="2846BFDC" w14:textId="3BB02B05" w:rsidR="00AF1258" w:rsidRDefault="005B1FB6" w:rsidP="00AF1258">
      <w:pPr>
        <w:rPr>
          <w:rFonts w:cs="Arial"/>
          <w:szCs w:val="22"/>
        </w:rPr>
      </w:pPr>
      <w:r w:rsidRPr="00E65F8A">
        <w:rPr>
          <w:rFonts w:cs="Arial"/>
          <w:szCs w:val="22"/>
        </w:rPr>
        <w:t xml:space="preserve">Tous les patients </w:t>
      </w:r>
      <w:r w:rsidR="004350DF">
        <w:rPr>
          <w:rFonts w:cs="Arial"/>
          <w:szCs w:val="22"/>
        </w:rPr>
        <w:t>étaient</w:t>
      </w:r>
      <w:r w:rsidRPr="00E65F8A">
        <w:rPr>
          <w:rFonts w:cs="Arial"/>
          <w:szCs w:val="22"/>
        </w:rPr>
        <w:t xml:space="preserve"> traités à l’inclusion par au moins un </w:t>
      </w:r>
      <w:r w:rsidR="00AF1258" w:rsidRPr="00E65F8A">
        <w:rPr>
          <w:rFonts w:cs="Arial"/>
          <w:szCs w:val="22"/>
        </w:rPr>
        <w:t>opio</w:t>
      </w:r>
      <w:r w:rsidRPr="00E65F8A">
        <w:rPr>
          <w:rFonts w:cs="Arial"/>
          <w:szCs w:val="22"/>
        </w:rPr>
        <w:t>ïde</w:t>
      </w:r>
      <w:r w:rsidR="00AF1258" w:rsidRPr="00E65F8A">
        <w:rPr>
          <w:rFonts w:cs="Arial"/>
          <w:szCs w:val="22"/>
        </w:rPr>
        <w:t xml:space="preserve"> de niveau 3</w:t>
      </w:r>
      <w:r w:rsidRPr="00E65F8A">
        <w:rPr>
          <w:rFonts w:cs="Arial"/>
          <w:szCs w:val="22"/>
        </w:rPr>
        <w:t> : l'oxycodone (51,4</w:t>
      </w:r>
      <w:r w:rsidR="00AF1258" w:rsidRPr="00E65F8A">
        <w:rPr>
          <w:rFonts w:cs="Arial"/>
          <w:szCs w:val="22"/>
        </w:rPr>
        <w:t>%), le fentanyl (19,4%), la morphine (18,8%), l'hydromorphone (9%) et le sufentanil (</w:t>
      </w:r>
      <w:r w:rsidRPr="00E65F8A">
        <w:rPr>
          <w:rFonts w:cs="Arial"/>
          <w:szCs w:val="22"/>
        </w:rPr>
        <w:t>1,4%</w:t>
      </w:r>
      <w:r w:rsidR="00C73484" w:rsidRPr="00E65F8A">
        <w:rPr>
          <w:rFonts w:cs="Arial"/>
          <w:szCs w:val="22"/>
        </w:rPr>
        <w:t>, 2 cas)</w:t>
      </w:r>
      <w:r w:rsidRPr="00E65F8A">
        <w:rPr>
          <w:rFonts w:cs="Arial"/>
          <w:szCs w:val="22"/>
        </w:rPr>
        <w:t>.</w:t>
      </w:r>
      <w:r w:rsidR="00C73484" w:rsidRPr="00E65F8A">
        <w:rPr>
          <w:rFonts w:cs="Arial"/>
          <w:szCs w:val="22"/>
        </w:rPr>
        <w:t xml:space="preserve"> Les patients ont reçu </w:t>
      </w:r>
      <w:r w:rsidR="00AF1258" w:rsidRPr="00E65F8A">
        <w:rPr>
          <w:rFonts w:cs="Arial"/>
          <w:szCs w:val="22"/>
        </w:rPr>
        <w:t>la méthadone</w:t>
      </w:r>
      <w:r w:rsidR="00AF1258" w:rsidRPr="00AF1258">
        <w:rPr>
          <w:rFonts w:cs="Arial"/>
          <w:szCs w:val="22"/>
        </w:rPr>
        <w:t xml:space="preserve"> en troisième intention (71%) ou en deuxième intention (29%). </w:t>
      </w:r>
      <w:r w:rsidR="00C73484">
        <w:rPr>
          <w:rFonts w:cs="Arial"/>
          <w:szCs w:val="22"/>
        </w:rPr>
        <w:t xml:space="preserve">Les raisons du changement pour la méthadone étaient </w:t>
      </w:r>
      <w:r w:rsidR="00C73484" w:rsidRPr="00AF1258">
        <w:rPr>
          <w:rFonts w:cs="Arial"/>
          <w:szCs w:val="22"/>
        </w:rPr>
        <w:t xml:space="preserve">une efficacité insuffisante (56,3%), </w:t>
      </w:r>
      <w:r w:rsidR="00C73484">
        <w:rPr>
          <w:rFonts w:cs="Arial"/>
          <w:szCs w:val="22"/>
        </w:rPr>
        <w:t xml:space="preserve">des effets indésirables (6,3%) </w:t>
      </w:r>
      <w:r w:rsidR="00C73484" w:rsidRPr="00051E1E">
        <w:rPr>
          <w:rFonts w:cs="Arial"/>
          <w:szCs w:val="22"/>
        </w:rPr>
        <w:t xml:space="preserve">ou les 2 raisons associées </w:t>
      </w:r>
      <w:r w:rsidR="00C73484" w:rsidRPr="00AF1258">
        <w:rPr>
          <w:rFonts w:cs="Arial"/>
          <w:szCs w:val="22"/>
        </w:rPr>
        <w:t>(37,5%)</w:t>
      </w:r>
      <w:r w:rsidR="00C73484">
        <w:rPr>
          <w:rFonts w:cs="Arial"/>
          <w:szCs w:val="22"/>
        </w:rPr>
        <w:t>.</w:t>
      </w:r>
    </w:p>
    <w:p w14:paraId="3D3B1883" w14:textId="77777777" w:rsidR="00C75A92" w:rsidRPr="00AF1258" w:rsidRDefault="00C75A92" w:rsidP="00AF1258">
      <w:pPr>
        <w:rPr>
          <w:rFonts w:cs="Arial"/>
          <w:szCs w:val="22"/>
        </w:rPr>
      </w:pPr>
    </w:p>
    <w:p w14:paraId="1F283F45" w14:textId="77777777" w:rsidR="00AF1258" w:rsidRPr="004B6778" w:rsidRDefault="00C75A92" w:rsidP="00C628D5">
      <w:pPr>
        <w:pStyle w:val="Paragraphedeliste"/>
        <w:numPr>
          <w:ilvl w:val="0"/>
          <w:numId w:val="26"/>
        </w:numPr>
        <w:ind w:left="284" w:hanging="284"/>
        <w:rPr>
          <w:u w:val="single"/>
        </w:rPr>
      </w:pPr>
      <w:r w:rsidRPr="004B6778">
        <w:rPr>
          <w:u w:val="single"/>
        </w:rPr>
        <w:t>Résultats sur le critère de jugement principal</w:t>
      </w:r>
    </w:p>
    <w:p w14:paraId="66100033" w14:textId="32392CF0" w:rsidR="000E0F35" w:rsidRDefault="000E0F35" w:rsidP="00551338">
      <w:pPr>
        <w:rPr>
          <w:rFonts w:cs="Arial"/>
          <w:szCs w:val="22"/>
        </w:rPr>
      </w:pPr>
      <w:r>
        <w:rPr>
          <w:rFonts w:cs="Arial"/>
          <w:szCs w:val="22"/>
        </w:rPr>
        <w:t xml:space="preserve">Deux patients n’ayant pas reçu de méthadone ont été </w:t>
      </w:r>
      <w:r w:rsidR="00D347E0">
        <w:rPr>
          <w:rFonts w:cs="Arial"/>
          <w:szCs w:val="22"/>
        </w:rPr>
        <w:t>exclus</w:t>
      </w:r>
      <w:r>
        <w:rPr>
          <w:rFonts w:cs="Arial"/>
          <w:szCs w:val="22"/>
        </w:rPr>
        <w:t xml:space="preserve"> d</w:t>
      </w:r>
      <w:r w:rsidR="00D347E0">
        <w:rPr>
          <w:rFonts w:cs="Arial"/>
          <w:szCs w:val="22"/>
        </w:rPr>
        <w:t>e</w:t>
      </w:r>
      <w:r>
        <w:rPr>
          <w:rFonts w:cs="Arial"/>
          <w:szCs w:val="22"/>
        </w:rPr>
        <w:t xml:space="preserve"> l’analyse ; </w:t>
      </w:r>
      <w:r w:rsidR="006D00A4" w:rsidRPr="00AF1258">
        <w:rPr>
          <w:rFonts w:cs="Arial"/>
          <w:szCs w:val="22"/>
        </w:rPr>
        <w:t>144</w:t>
      </w:r>
      <w:r w:rsidR="004B5FF8">
        <w:rPr>
          <w:rFonts w:cs="Arial"/>
          <w:szCs w:val="22"/>
        </w:rPr>
        <w:t>/146 patients</w:t>
      </w:r>
      <w:r w:rsidR="006D00A4" w:rsidRPr="00AF1258">
        <w:rPr>
          <w:rFonts w:cs="Arial"/>
          <w:szCs w:val="22"/>
        </w:rPr>
        <w:t xml:space="preserve"> ont été inclus dans </w:t>
      </w:r>
      <w:r w:rsidR="00E65F8A">
        <w:rPr>
          <w:rFonts w:cs="Arial"/>
          <w:szCs w:val="22"/>
        </w:rPr>
        <w:t xml:space="preserve">une </w:t>
      </w:r>
      <w:r w:rsidR="0004286B">
        <w:rPr>
          <w:rFonts w:cs="Arial"/>
          <w:szCs w:val="22"/>
        </w:rPr>
        <w:t>analyse</w:t>
      </w:r>
      <w:r w:rsidR="006D00A4" w:rsidRPr="00AF1258">
        <w:rPr>
          <w:rFonts w:cs="Arial"/>
          <w:szCs w:val="22"/>
        </w:rPr>
        <w:t xml:space="preserve"> en ITT</w:t>
      </w:r>
      <w:r w:rsidR="006D00A4" w:rsidRPr="0004286B">
        <w:rPr>
          <w:rFonts w:cs="Arial"/>
          <w:szCs w:val="22"/>
          <w:vertAlign w:val="subscript"/>
        </w:rPr>
        <w:t>modifiée</w:t>
      </w:r>
      <w:r>
        <w:rPr>
          <w:rFonts w:cs="Arial"/>
          <w:szCs w:val="22"/>
          <w:vertAlign w:val="subscript"/>
        </w:rPr>
        <w:t>.</w:t>
      </w:r>
    </w:p>
    <w:p w14:paraId="0EE47EF8" w14:textId="77777777" w:rsidR="003F21C8" w:rsidRPr="003F21C8" w:rsidRDefault="003F21C8" w:rsidP="00551338">
      <w:r>
        <w:t xml:space="preserve">Aucune différence statistique n’a été mise en évidence entre les </w:t>
      </w:r>
      <w:r w:rsidR="0004286B">
        <w:t>deux</w:t>
      </w:r>
      <w:r>
        <w:t xml:space="preserve"> protocoles de titration de la méthadone sur le </w:t>
      </w:r>
      <w:r w:rsidR="0004286B">
        <w:t>critère de jugement principal (</w:t>
      </w:r>
      <w:r w:rsidRPr="003F21C8">
        <w:t>cf. tableau 2</w:t>
      </w:r>
      <w:r w:rsidR="0004286B">
        <w:t>)</w:t>
      </w:r>
      <w:r w:rsidRPr="003F21C8">
        <w:t>.</w:t>
      </w:r>
    </w:p>
    <w:p w14:paraId="6EE7ACC8" w14:textId="77777777" w:rsidR="00551338" w:rsidRDefault="00551338" w:rsidP="00551338">
      <w:pPr>
        <w:rPr>
          <w:rFonts w:cs="Arial"/>
          <w:sz w:val="18"/>
        </w:rPr>
      </w:pPr>
    </w:p>
    <w:p w14:paraId="4D39A522" w14:textId="43A9140F" w:rsidR="006D00A4" w:rsidRPr="00EA50C2" w:rsidRDefault="003F21C8" w:rsidP="00EA50C2">
      <w:pPr>
        <w:spacing w:after="120"/>
        <w:rPr>
          <w:rFonts w:cs="Arial"/>
          <w:b/>
          <w:sz w:val="20"/>
        </w:rPr>
      </w:pPr>
      <w:r w:rsidRPr="00EA50C2">
        <w:rPr>
          <w:rFonts w:cs="Arial"/>
          <w:b/>
          <w:sz w:val="20"/>
        </w:rPr>
        <w:t xml:space="preserve">Tableau 2. Résultats sur le critère principal </w:t>
      </w:r>
      <w:r w:rsidR="00C73484" w:rsidRPr="00EA50C2">
        <w:rPr>
          <w:rFonts w:cs="Arial"/>
          <w:b/>
          <w:sz w:val="20"/>
        </w:rPr>
        <w:t xml:space="preserve">composite </w:t>
      </w:r>
    </w:p>
    <w:tbl>
      <w:tblPr>
        <w:tblW w:w="4852"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64"/>
        <w:gridCol w:w="826"/>
        <w:gridCol w:w="2243"/>
        <w:gridCol w:w="2315"/>
        <w:gridCol w:w="796"/>
      </w:tblGrid>
      <w:tr w:rsidR="006772E9" w:rsidRPr="00537F80" w14:paraId="24A48125" w14:textId="77777777" w:rsidTr="00EA50C2">
        <w:trPr>
          <w:jc w:val="center"/>
        </w:trPr>
        <w:tc>
          <w:tcPr>
            <w:tcW w:w="1693" w:type="pct"/>
            <w:shd w:val="clear" w:color="auto" w:fill="004890"/>
            <w:vAlign w:val="center"/>
          </w:tcPr>
          <w:p w14:paraId="3780E643" w14:textId="77777777" w:rsidR="003F21C8" w:rsidRPr="00EA50C2" w:rsidRDefault="003F21C8" w:rsidP="009E2347">
            <w:pPr>
              <w:jc w:val="center"/>
              <w:rPr>
                <w:rFonts w:cs="Arial"/>
                <w:b/>
                <w:sz w:val="18"/>
              </w:rPr>
            </w:pPr>
            <w:r w:rsidRPr="00EA50C2">
              <w:rPr>
                <w:rFonts w:cs="Arial"/>
                <w:b/>
                <w:sz w:val="18"/>
              </w:rPr>
              <w:t>N (%)</w:t>
            </w:r>
          </w:p>
        </w:tc>
        <w:tc>
          <w:tcPr>
            <w:tcW w:w="442" w:type="pct"/>
            <w:shd w:val="clear" w:color="auto" w:fill="004890"/>
            <w:vAlign w:val="center"/>
          </w:tcPr>
          <w:p w14:paraId="670E7B2B" w14:textId="77777777" w:rsidR="003F21C8" w:rsidRPr="00EA50C2" w:rsidRDefault="003F21C8" w:rsidP="009E2347">
            <w:pPr>
              <w:jc w:val="center"/>
              <w:rPr>
                <w:rFonts w:cs="Arial"/>
                <w:b/>
                <w:sz w:val="18"/>
              </w:rPr>
            </w:pPr>
            <w:r w:rsidRPr="00EA50C2">
              <w:rPr>
                <w:rFonts w:cs="Arial"/>
                <w:b/>
                <w:sz w:val="18"/>
              </w:rPr>
              <w:t>Critère</w:t>
            </w:r>
          </w:p>
        </w:tc>
        <w:tc>
          <w:tcPr>
            <w:tcW w:w="1200" w:type="pct"/>
            <w:shd w:val="clear" w:color="auto" w:fill="004890"/>
            <w:vAlign w:val="center"/>
          </w:tcPr>
          <w:p w14:paraId="319810DD" w14:textId="77777777" w:rsidR="003F21C8" w:rsidRPr="00EA50C2" w:rsidRDefault="003F21C8" w:rsidP="009E2347">
            <w:pPr>
              <w:jc w:val="center"/>
              <w:rPr>
                <w:rFonts w:cs="Arial"/>
                <w:b/>
                <w:sz w:val="18"/>
              </w:rPr>
            </w:pPr>
            <w:r w:rsidRPr="00EA50C2">
              <w:rPr>
                <w:rFonts w:cs="Arial"/>
                <w:b/>
                <w:sz w:val="18"/>
              </w:rPr>
              <w:t xml:space="preserve">Groupe A </w:t>
            </w:r>
            <w:r w:rsidR="0004286B" w:rsidRPr="00EA50C2">
              <w:rPr>
                <w:rFonts w:cs="Arial"/>
                <w:b/>
                <w:sz w:val="18"/>
              </w:rPr>
              <w:t>- SAG</w:t>
            </w:r>
          </w:p>
          <w:p w14:paraId="31CBCBDF" w14:textId="77777777" w:rsidR="00C75A92" w:rsidRPr="00EA50C2" w:rsidRDefault="00C75A92" w:rsidP="009E2347">
            <w:pPr>
              <w:jc w:val="center"/>
              <w:rPr>
                <w:rFonts w:cs="Arial"/>
                <w:b/>
                <w:sz w:val="18"/>
              </w:rPr>
            </w:pPr>
            <w:r w:rsidRPr="00EA50C2">
              <w:rPr>
                <w:rFonts w:cs="Arial"/>
                <w:b/>
                <w:sz w:val="18"/>
              </w:rPr>
              <w:t>N = 71</w:t>
            </w:r>
          </w:p>
        </w:tc>
        <w:tc>
          <w:tcPr>
            <w:tcW w:w="1239" w:type="pct"/>
            <w:shd w:val="clear" w:color="auto" w:fill="004890"/>
            <w:vAlign w:val="center"/>
          </w:tcPr>
          <w:p w14:paraId="7258FED4" w14:textId="77777777" w:rsidR="003F21C8" w:rsidRPr="00EA50C2" w:rsidRDefault="003F21C8" w:rsidP="009E2347">
            <w:pPr>
              <w:jc w:val="center"/>
              <w:rPr>
                <w:rFonts w:cs="Arial"/>
                <w:b/>
                <w:sz w:val="18"/>
              </w:rPr>
            </w:pPr>
            <w:r w:rsidRPr="00EA50C2">
              <w:rPr>
                <w:rFonts w:cs="Arial"/>
                <w:b/>
                <w:sz w:val="18"/>
              </w:rPr>
              <w:t xml:space="preserve">Groupe B </w:t>
            </w:r>
            <w:r w:rsidR="0004286B" w:rsidRPr="00EA50C2">
              <w:rPr>
                <w:rFonts w:cs="Arial"/>
                <w:b/>
                <w:sz w:val="18"/>
              </w:rPr>
              <w:t>- 3DS</w:t>
            </w:r>
          </w:p>
          <w:p w14:paraId="5B34FC88" w14:textId="77777777" w:rsidR="00C75A92" w:rsidRPr="00EA50C2" w:rsidRDefault="00C75A92" w:rsidP="009E2347">
            <w:pPr>
              <w:jc w:val="center"/>
              <w:rPr>
                <w:rFonts w:cs="Arial"/>
                <w:b/>
                <w:sz w:val="18"/>
              </w:rPr>
            </w:pPr>
            <w:r w:rsidRPr="00EA50C2">
              <w:rPr>
                <w:rFonts w:cs="Arial"/>
                <w:b/>
                <w:sz w:val="18"/>
              </w:rPr>
              <w:t>N=73</w:t>
            </w:r>
          </w:p>
        </w:tc>
        <w:tc>
          <w:tcPr>
            <w:tcW w:w="426" w:type="pct"/>
            <w:shd w:val="clear" w:color="auto" w:fill="004890"/>
            <w:vAlign w:val="center"/>
          </w:tcPr>
          <w:p w14:paraId="1AC8CE71" w14:textId="77777777" w:rsidR="003F21C8" w:rsidRPr="00EA50C2" w:rsidRDefault="003B1C87" w:rsidP="009E2347">
            <w:pPr>
              <w:jc w:val="center"/>
              <w:rPr>
                <w:rFonts w:cs="Arial"/>
                <w:b/>
                <w:sz w:val="18"/>
              </w:rPr>
            </w:pPr>
            <w:r w:rsidRPr="00EA50C2">
              <w:rPr>
                <w:rFonts w:cs="Arial"/>
                <w:b/>
                <w:i/>
                <w:sz w:val="18"/>
              </w:rPr>
              <w:t>P</w:t>
            </w:r>
          </w:p>
        </w:tc>
      </w:tr>
      <w:tr w:rsidR="006772E9" w:rsidRPr="00537F80" w14:paraId="5E45CF31" w14:textId="77777777" w:rsidTr="00EA50C2">
        <w:trPr>
          <w:trHeight w:val="283"/>
          <w:jc w:val="center"/>
        </w:trPr>
        <w:tc>
          <w:tcPr>
            <w:tcW w:w="1693" w:type="pct"/>
            <w:vAlign w:val="center"/>
          </w:tcPr>
          <w:p w14:paraId="55FB35D7" w14:textId="77777777" w:rsidR="00C73484" w:rsidRPr="00C75A92" w:rsidRDefault="006772E9" w:rsidP="006772E9">
            <w:pPr>
              <w:jc w:val="left"/>
              <w:rPr>
                <w:rFonts w:cs="Arial"/>
                <w:b/>
                <w:sz w:val="18"/>
              </w:rPr>
            </w:pPr>
            <w:r>
              <w:rPr>
                <w:rFonts w:cs="Arial"/>
                <w:b/>
                <w:sz w:val="18"/>
              </w:rPr>
              <w:t>S</w:t>
            </w:r>
            <w:r w:rsidR="00C73484" w:rsidRPr="00C75A92">
              <w:rPr>
                <w:rFonts w:cs="Arial"/>
                <w:b/>
                <w:sz w:val="18"/>
              </w:rPr>
              <w:t>uccès</w:t>
            </w:r>
            <w:r>
              <w:rPr>
                <w:rFonts w:cs="Arial"/>
                <w:b/>
                <w:sz w:val="18"/>
              </w:rPr>
              <w:t xml:space="preserve"> à J4 </w:t>
            </w:r>
            <w:r w:rsidR="00C73484" w:rsidRPr="00C75A92">
              <w:rPr>
                <w:rFonts w:cs="Arial"/>
                <w:b/>
                <w:sz w:val="18"/>
              </w:rPr>
              <w:t>[IC95%]</w:t>
            </w:r>
          </w:p>
        </w:tc>
        <w:tc>
          <w:tcPr>
            <w:tcW w:w="442" w:type="pct"/>
            <w:vAlign w:val="center"/>
          </w:tcPr>
          <w:p w14:paraId="214D6B4C" w14:textId="77777777" w:rsidR="00C73484" w:rsidRPr="00C75A92" w:rsidRDefault="00C73484" w:rsidP="006772E9">
            <w:pPr>
              <w:jc w:val="center"/>
              <w:rPr>
                <w:rFonts w:cs="Arial"/>
                <w:b/>
                <w:sz w:val="18"/>
                <w:szCs w:val="18"/>
              </w:rPr>
            </w:pPr>
            <w:r w:rsidRPr="00C75A92">
              <w:rPr>
                <w:rFonts w:cs="Arial"/>
                <w:b/>
                <w:sz w:val="18"/>
                <w:szCs w:val="18"/>
              </w:rPr>
              <w:t>1+2+3</w:t>
            </w:r>
          </w:p>
        </w:tc>
        <w:tc>
          <w:tcPr>
            <w:tcW w:w="1200" w:type="pct"/>
            <w:vAlign w:val="center"/>
          </w:tcPr>
          <w:p w14:paraId="321A158E" w14:textId="3FB22079" w:rsidR="00C73484" w:rsidRPr="006772E9" w:rsidRDefault="00C73484" w:rsidP="006772E9">
            <w:pPr>
              <w:jc w:val="center"/>
              <w:rPr>
                <w:b/>
                <w:sz w:val="18"/>
                <w:szCs w:val="18"/>
              </w:rPr>
            </w:pPr>
            <w:r w:rsidRPr="00D72C3F">
              <w:rPr>
                <w:b/>
                <w:sz w:val="18"/>
                <w:szCs w:val="18"/>
              </w:rPr>
              <w:t>28 (39,4</w:t>
            </w:r>
            <w:r w:rsidR="00C75A92" w:rsidRPr="00D72C3F">
              <w:rPr>
                <w:b/>
                <w:sz w:val="18"/>
                <w:szCs w:val="18"/>
              </w:rPr>
              <w:t>%</w:t>
            </w:r>
            <w:r w:rsidRPr="00D72C3F">
              <w:rPr>
                <w:b/>
                <w:sz w:val="18"/>
                <w:szCs w:val="18"/>
              </w:rPr>
              <w:t>)</w:t>
            </w:r>
            <w:r w:rsidR="00C75A92" w:rsidRPr="00D72C3F">
              <w:rPr>
                <w:b/>
                <w:sz w:val="18"/>
                <w:szCs w:val="18"/>
              </w:rPr>
              <w:t xml:space="preserve"> </w:t>
            </w:r>
            <w:r w:rsidRPr="00D72C3F">
              <w:rPr>
                <w:b/>
                <w:sz w:val="18"/>
                <w:szCs w:val="18"/>
              </w:rPr>
              <w:t>[</w:t>
            </w:r>
            <w:r w:rsidRPr="00C75A92">
              <w:rPr>
                <w:b/>
                <w:sz w:val="18"/>
                <w:szCs w:val="18"/>
              </w:rPr>
              <w:t>28,9 ; 51,1]</w:t>
            </w:r>
          </w:p>
        </w:tc>
        <w:tc>
          <w:tcPr>
            <w:tcW w:w="1239" w:type="pct"/>
            <w:vAlign w:val="center"/>
          </w:tcPr>
          <w:p w14:paraId="2DB9C559" w14:textId="2F949AE6" w:rsidR="00C73484" w:rsidRPr="006772E9" w:rsidRDefault="00C73484" w:rsidP="006772E9">
            <w:pPr>
              <w:jc w:val="center"/>
              <w:rPr>
                <w:b/>
                <w:sz w:val="18"/>
                <w:szCs w:val="18"/>
              </w:rPr>
            </w:pPr>
            <w:r w:rsidRPr="00C75A92">
              <w:rPr>
                <w:b/>
                <w:sz w:val="18"/>
                <w:szCs w:val="18"/>
              </w:rPr>
              <w:t>34</w:t>
            </w:r>
            <w:r w:rsidR="00261CE8">
              <w:rPr>
                <w:b/>
                <w:sz w:val="18"/>
                <w:szCs w:val="18"/>
              </w:rPr>
              <w:t xml:space="preserve"> </w:t>
            </w:r>
            <w:r w:rsidRPr="00C75A92">
              <w:rPr>
                <w:b/>
                <w:sz w:val="18"/>
                <w:szCs w:val="18"/>
              </w:rPr>
              <w:t>(46,6</w:t>
            </w:r>
            <w:r w:rsidR="00C75A92" w:rsidRPr="00C75A92">
              <w:rPr>
                <w:b/>
                <w:sz w:val="18"/>
                <w:szCs w:val="18"/>
              </w:rPr>
              <w:t>%</w:t>
            </w:r>
            <w:r w:rsidRPr="00C75A92">
              <w:rPr>
                <w:b/>
                <w:sz w:val="18"/>
                <w:szCs w:val="18"/>
              </w:rPr>
              <w:t>) [35,6 ; 57,9]</w:t>
            </w:r>
          </w:p>
        </w:tc>
        <w:tc>
          <w:tcPr>
            <w:tcW w:w="426" w:type="pct"/>
            <w:vAlign w:val="center"/>
          </w:tcPr>
          <w:p w14:paraId="4AD4BC3A" w14:textId="77777777" w:rsidR="00C73484" w:rsidRPr="00C75A92" w:rsidRDefault="00C73484" w:rsidP="006772E9">
            <w:pPr>
              <w:jc w:val="center"/>
              <w:rPr>
                <w:rFonts w:cs="Arial"/>
                <w:b/>
                <w:sz w:val="18"/>
              </w:rPr>
            </w:pPr>
            <w:r w:rsidRPr="00C75A92">
              <w:rPr>
                <w:rFonts w:cs="Arial"/>
                <w:b/>
                <w:sz w:val="18"/>
              </w:rPr>
              <w:t>0,387</w:t>
            </w:r>
          </w:p>
        </w:tc>
      </w:tr>
      <w:tr w:rsidR="006772E9" w:rsidRPr="00537F80" w14:paraId="5B3F4EDA" w14:textId="77777777" w:rsidTr="00EA50C2">
        <w:trPr>
          <w:trHeight w:val="283"/>
          <w:jc w:val="center"/>
        </w:trPr>
        <w:tc>
          <w:tcPr>
            <w:tcW w:w="1693" w:type="pct"/>
            <w:vAlign w:val="center"/>
          </w:tcPr>
          <w:p w14:paraId="372A67A3" w14:textId="77777777" w:rsidR="00C73484" w:rsidRPr="00537F80" w:rsidRDefault="00C73484" w:rsidP="006772E9">
            <w:pPr>
              <w:jc w:val="left"/>
              <w:rPr>
                <w:rFonts w:cs="Arial"/>
                <w:sz w:val="18"/>
              </w:rPr>
            </w:pPr>
            <w:r w:rsidRPr="00537F80">
              <w:rPr>
                <w:rFonts w:cs="Arial"/>
                <w:sz w:val="18"/>
              </w:rPr>
              <w:t>Diminution ≥ 2</w:t>
            </w:r>
            <w:r w:rsidR="00C75A92">
              <w:rPr>
                <w:rFonts w:cs="Arial"/>
                <w:sz w:val="18"/>
              </w:rPr>
              <w:t xml:space="preserve"> de l’EVA</w:t>
            </w:r>
            <w:r w:rsidRPr="00537F80">
              <w:rPr>
                <w:rFonts w:cs="Arial"/>
                <w:sz w:val="18"/>
              </w:rPr>
              <w:t xml:space="preserve"> J1-J4</w:t>
            </w:r>
          </w:p>
        </w:tc>
        <w:tc>
          <w:tcPr>
            <w:tcW w:w="442" w:type="pct"/>
            <w:vAlign w:val="center"/>
          </w:tcPr>
          <w:p w14:paraId="70D6B413" w14:textId="77777777" w:rsidR="00C73484" w:rsidRPr="00537F80" w:rsidRDefault="00C73484" w:rsidP="006772E9">
            <w:pPr>
              <w:jc w:val="center"/>
              <w:rPr>
                <w:rFonts w:cs="Arial"/>
                <w:sz w:val="18"/>
                <w:szCs w:val="18"/>
              </w:rPr>
            </w:pPr>
            <w:r w:rsidRPr="00537F80">
              <w:rPr>
                <w:rFonts w:cs="Arial"/>
                <w:sz w:val="18"/>
                <w:szCs w:val="18"/>
              </w:rPr>
              <w:t>1</w:t>
            </w:r>
          </w:p>
        </w:tc>
        <w:tc>
          <w:tcPr>
            <w:tcW w:w="1200" w:type="pct"/>
            <w:vAlign w:val="center"/>
          </w:tcPr>
          <w:p w14:paraId="77C73143" w14:textId="77777777" w:rsidR="00C73484" w:rsidRPr="00537F80" w:rsidRDefault="00C73484" w:rsidP="006772E9">
            <w:pPr>
              <w:jc w:val="center"/>
              <w:rPr>
                <w:rFonts w:cs="Arial"/>
                <w:sz w:val="18"/>
                <w:szCs w:val="18"/>
              </w:rPr>
            </w:pPr>
            <w:r w:rsidRPr="00537F80">
              <w:rPr>
                <w:rFonts w:cs="Arial"/>
                <w:sz w:val="18"/>
                <w:szCs w:val="18"/>
              </w:rPr>
              <w:t>39 (54,9)</w:t>
            </w:r>
          </w:p>
        </w:tc>
        <w:tc>
          <w:tcPr>
            <w:tcW w:w="1239" w:type="pct"/>
            <w:vAlign w:val="center"/>
          </w:tcPr>
          <w:p w14:paraId="2FB9DAFD" w14:textId="77777777" w:rsidR="00C73484" w:rsidRPr="00537F80" w:rsidRDefault="00C73484" w:rsidP="006772E9">
            <w:pPr>
              <w:jc w:val="center"/>
              <w:rPr>
                <w:rFonts w:cs="Arial"/>
                <w:sz w:val="18"/>
                <w:szCs w:val="18"/>
              </w:rPr>
            </w:pPr>
            <w:r w:rsidRPr="00537F80">
              <w:rPr>
                <w:rFonts w:cs="Arial"/>
                <w:sz w:val="18"/>
                <w:szCs w:val="18"/>
              </w:rPr>
              <w:t>45 (61,6)</w:t>
            </w:r>
          </w:p>
        </w:tc>
        <w:tc>
          <w:tcPr>
            <w:tcW w:w="426" w:type="pct"/>
            <w:vAlign w:val="center"/>
          </w:tcPr>
          <w:p w14:paraId="0812FB4C" w14:textId="77777777" w:rsidR="00C73484" w:rsidRPr="00537F80" w:rsidRDefault="00C73484" w:rsidP="006772E9">
            <w:pPr>
              <w:jc w:val="center"/>
              <w:rPr>
                <w:rFonts w:cs="Arial"/>
                <w:sz w:val="18"/>
              </w:rPr>
            </w:pPr>
          </w:p>
        </w:tc>
      </w:tr>
      <w:tr w:rsidR="006772E9" w:rsidRPr="00537F80" w14:paraId="2FDC928B" w14:textId="77777777" w:rsidTr="00EA50C2">
        <w:trPr>
          <w:trHeight w:val="283"/>
          <w:jc w:val="center"/>
        </w:trPr>
        <w:tc>
          <w:tcPr>
            <w:tcW w:w="1693" w:type="pct"/>
            <w:vAlign w:val="center"/>
          </w:tcPr>
          <w:p w14:paraId="26C0DC89" w14:textId="77777777" w:rsidR="00C73484" w:rsidRPr="00537F80" w:rsidRDefault="00C75A92" w:rsidP="006772E9">
            <w:pPr>
              <w:jc w:val="left"/>
              <w:rPr>
                <w:rFonts w:cs="Arial"/>
                <w:sz w:val="18"/>
              </w:rPr>
            </w:pPr>
            <w:r>
              <w:rPr>
                <w:rFonts w:cs="Arial"/>
                <w:sz w:val="18"/>
              </w:rPr>
              <w:t>EVA</w:t>
            </w:r>
            <w:r w:rsidR="00DE2D9E">
              <w:rPr>
                <w:rFonts w:cs="Arial"/>
                <w:sz w:val="18"/>
              </w:rPr>
              <w:t xml:space="preserve"> </w:t>
            </w:r>
            <w:r w:rsidR="00C73484" w:rsidRPr="00537F80">
              <w:rPr>
                <w:rFonts w:cs="Arial"/>
                <w:sz w:val="18"/>
              </w:rPr>
              <w:t xml:space="preserve">&lt; 5 </w:t>
            </w:r>
            <w:r w:rsidR="00DE2D9E">
              <w:rPr>
                <w:rFonts w:cs="Arial"/>
                <w:sz w:val="18"/>
              </w:rPr>
              <w:t>pendant</w:t>
            </w:r>
            <w:r w:rsidR="00C73484" w:rsidRPr="00537F80">
              <w:rPr>
                <w:rFonts w:cs="Arial"/>
                <w:sz w:val="18"/>
              </w:rPr>
              <w:t xml:space="preserve"> 2 jours</w:t>
            </w:r>
          </w:p>
        </w:tc>
        <w:tc>
          <w:tcPr>
            <w:tcW w:w="442" w:type="pct"/>
            <w:vAlign w:val="center"/>
          </w:tcPr>
          <w:p w14:paraId="4FD9375B" w14:textId="77777777" w:rsidR="00C73484" w:rsidRPr="00537F80" w:rsidRDefault="00C73484" w:rsidP="006772E9">
            <w:pPr>
              <w:jc w:val="center"/>
              <w:rPr>
                <w:rFonts w:cs="Arial"/>
                <w:sz w:val="18"/>
                <w:szCs w:val="18"/>
              </w:rPr>
            </w:pPr>
            <w:r w:rsidRPr="00537F80">
              <w:rPr>
                <w:rFonts w:cs="Arial"/>
                <w:sz w:val="18"/>
                <w:szCs w:val="18"/>
              </w:rPr>
              <w:t>2</w:t>
            </w:r>
          </w:p>
        </w:tc>
        <w:tc>
          <w:tcPr>
            <w:tcW w:w="1200" w:type="pct"/>
            <w:vAlign w:val="center"/>
          </w:tcPr>
          <w:p w14:paraId="5B2D71C1" w14:textId="77777777" w:rsidR="00C73484" w:rsidRPr="00537F80" w:rsidRDefault="00C73484" w:rsidP="006772E9">
            <w:pPr>
              <w:jc w:val="center"/>
              <w:rPr>
                <w:rFonts w:cs="Arial"/>
                <w:sz w:val="18"/>
                <w:szCs w:val="18"/>
              </w:rPr>
            </w:pPr>
            <w:r w:rsidRPr="00537F80">
              <w:rPr>
                <w:sz w:val="18"/>
                <w:szCs w:val="18"/>
              </w:rPr>
              <w:t>47 (66,2)</w:t>
            </w:r>
          </w:p>
        </w:tc>
        <w:tc>
          <w:tcPr>
            <w:tcW w:w="1239" w:type="pct"/>
            <w:vAlign w:val="center"/>
          </w:tcPr>
          <w:p w14:paraId="7971CED4" w14:textId="77777777" w:rsidR="00C73484" w:rsidRPr="00537F80" w:rsidRDefault="00C73484" w:rsidP="006772E9">
            <w:pPr>
              <w:jc w:val="center"/>
              <w:rPr>
                <w:rFonts w:cs="Arial"/>
                <w:sz w:val="18"/>
                <w:szCs w:val="18"/>
              </w:rPr>
            </w:pPr>
            <w:r w:rsidRPr="00537F80">
              <w:rPr>
                <w:sz w:val="18"/>
                <w:szCs w:val="18"/>
              </w:rPr>
              <w:t>53 (72,6)</w:t>
            </w:r>
          </w:p>
        </w:tc>
        <w:tc>
          <w:tcPr>
            <w:tcW w:w="426" w:type="pct"/>
            <w:vAlign w:val="center"/>
          </w:tcPr>
          <w:p w14:paraId="1E18936E" w14:textId="77777777" w:rsidR="00C73484" w:rsidRPr="00537F80" w:rsidRDefault="00C73484" w:rsidP="006772E9">
            <w:pPr>
              <w:jc w:val="center"/>
              <w:rPr>
                <w:rFonts w:cs="Arial"/>
                <w:sz w:val="18"/>
              </w:rPr>
            </w:pPr>
          </w:p>
        </w:tc>
      </w:tr>
      <w:tr w:rsidR="006772E9" w:rsidRPr="00537F80" w14:paraId="7A91B126" w14:textId="77777777" w:rsidTr="00EA50C2">
        <w:trPr>
          <w:trHeight w:val="283"/>
          <w:jc w:val="center"/>
        </w:trPr>
        <w:tc>
          <w:tcPr>
            <w:tcW w:w="1693" w:type="pct"/>
            <w:vAlign w:val="center"/>
          </w:tcPr>
          <w:p w14:paraId="3BEE9F16" w14:textId="77777777" w:rsidR="00C73484" w:rsidRPr="00537F80" w:rsidRDefault="00C73484" w:rsidP="006772E9">
            <w:pPr>
              <w:jc w:val="left"/>
              <w:rPr>
                <w:rFonts w:cs="Arial"/>
                <w:sz w:val="18"/>
              </w:rPr>
            </w:pPr>
            <w:r w:rsidRPr="00537F80">
              <w:rPr>
                <w:rFonts w:cs="Arial"/>
                <w:sz w:val="18"/>
              </w:rPr>
              <w:t>Soulagement adéquat de la douleur</w:t>
            </w:r>
          </w:p>
        </w:tc>
        <w:tc>
          <w:tcPr>
            <w:tcW w:w="442" w:type="pct"/>
            <w:vAlign w:val="center"/>
          </w:tcPr>
          <w:p w14:paraId="4C59D87F" w14:textId="77777777" w:rsidR="00C73484" w:rsidRPr="00537F80" w:rsidRDefault="00C73484" w:rsidP="006772E9">
            <w:pPr>
              <w:jc w:val="center"/>
              <w:rPr>
                <w:rFonts w:cs="Arial"/>
                <w:sz w:val="18"/>
                <w:szCs w:val="18"/>
              </w:rPr>
            </w:pPr>
            <w:r w:rsidRPr="00537F80">
              <w:rPr>
                <w:rFonts w:cs="Arial"/>
                <w:sz w:val="18"/>
                <w:szCs w:val="18"/>
              </w:rPr>
              <w:t>1+2</w:t>
            </w:r>
          </w:p>
        </w:tc>
        <w:tc>
          <w:tcPr>
            <w:tcW w:w="1200" w:type="pct"/>
            <w:vAlign w:val="center"/>
          </w:tcPr>
          <w:p w14:paraId="2DD3613F" w14:textId="77777777" w:rsidR="00C73484" w:rsidRPr="00537F80" w:rsidRDefault="00C73484" w:rsidP="006772E9">
            <w:pPr>
              <w:jc w:val="center"/>
              <w:rPr>
                <w:rFonts w:cs="Arial"/>
                <w:sz w:val="18"/>
                <w:szCs w:val="18"/>
              </w:rPr>
            </w:pPr>
            <w:r w:rsidRPr="00537F80">
              <w:rPr>
                <w:sz w:val="18"/>
                <w:szCs w:val="18"/>
              </w:rPr>
              <w:t>29 (40,8)</w:t>
            </w:r>
          </w:p>
        </w:tc>
        <w:tc>
          <w:tcPr>
            <w:tcW w:w="1239" w:type="pct"/>
            <w:vAlign w:val="center"/>
          </w:tcPr>
          <w:p w14:paraId="214670F3" w14:textId="77777777" w:rsidR="00C73484" w:rsidRPr="00537F80" w:rsidRDefault="00C73484" w:rsidP="006772E9">
            <w:pPr>
              <w:jc w:val="center"/>
              <w:rPr>
                <w:rFonts w:cs="Arial"/>
                <w:sz w:val="18"/>
                <w:szCs w:val="18"/>
              </w:rPr>
            </w:pPr>
            <w:r w:rsidRPr="00537F80">
              <w:rPr>
                <w:sz w:val="18"/>
                <w:szCs w:val="18"/>
              </w:rPr>
              <w:t>36 (49,3)</w:t>
            </w:r>
          </w:p>
        </w:tc>
        <w:tc>
          <w:tcPr>
            <w:tcW w:w="426" w:type="pct"/>
            <w:vAlign w:val="center"/>
          </w:tcPr>
          <w:p w14:paraId="2667E38F" w14:textId="77777777" w:rsidR="00C73484" w:rsidRPr="00537F80" w:rsidRDefault="00C73484" w:rsidP="006772E9">
            <w:pPr>
              <w:jc w:val="center"/>
              <w:rPr>
                <w:rFonts w:cs="Arial"/>
                <w:sz w:val="18"/>
              </w:rPr>
            </w:pPr>
          </w:p>
        </w:tc>
      </w:tr>
      <w:tr w:rsidR="006772E9" w:rsidRPr="00537F80" w14:paraId="25470DBC" w14:textId="77777777" w:rsidTr="00EA50C2">
        <w:trPr>
          <w:trHeight w:val="283"/>
          <w:jc w:val="center"/>
        </w:trPr>
        <w:tc>
          <w:tcPr>
            <w:tcW w:w="1693" w:type="pct"/>
            <w:vAlign w:val="center"/>
          </w:tcPr>
          <w:p w14:paraId="4245F498" w14:textId="77777777" w:rsidR="00C73484" w:rsidRPr="00537F80" w:rsidRDefault="00C73484" w:rsidP="006772E9">
            <w:pPr>
              <w:jc w:val="left"/>
              <w:rPr>
                <w:rFonts w:cs="Arial"/>
                <w:sz w:val="18"/>
              </w:rPr>
            </w:pPr>
            <w:r w:rsidRPr="00537F80">
              <w:rPr>
                <w:rFonts w:cs="Arial"/>
                <w:sz w:val="18"/>
              </w:rPr>
              <w:t>Pas de signe de surdosage</w:t>
            </w:r>
          </w:p>
        </w:tc>
        <w:tc>
          <w:tcPr>
            <w:tcW w:w="442" w:type="pct"/>
            <w:vAlign w:val="center"/>
          </w:tcPr>
          <w:p w14:paraId="10C53361" w14:textId="77777777" w:rsidR="00C73484" w:rsidRPr="00537F80" w:rsidRDefault="00C73484" w:rsidP="006772E9">
            <w:pPr>
              <w:jc w:val="center"/>
              <w:rPr>
                <w:rFonts w:cs="Arial"/>
                <w:sz w:val="18"/>
                <w:szCs w:val="18"/>
              </w:rPr>
            </w:pPr>
            <w:r w:rsidRPr="00537F80">
              <w:rPr>
                <w:rFonts w:cs="Arial"/>
                <w:sz w:val="18"/>
                <w:szCs w:val="18"/>
              </w:rPr>
              <w:t>3</w:t>
            </w:r>
          </w:p>
        </w:tc>
        <w:tc>
          <w:tcPr>
            <w:tcW w:w="1200" w:type="pct"/>
            <w:vAlign w:val="center"/>
          </w:tcPr>
          <w:p w14:paraId="7850C0A4" w14:textId="77777777" w:rsidR="00C73484" w:rsidRPr="00537F80" w:rsidRDefault="00C73484" w:rsidP="006772E9">
            <w:pPr>
              <w:jc w:val="center"/>
              <w:rPr>
                <w:rFonts w:cs="Arial"/>
                <w:sz w:val="18"/>
                <w:szCs w:val="18"/>
              </w:rPr>
            </w:pPr>
            <w:r w:rsidRPr="00537F80">
              <w:rPr>
                <w:sz w:val="18"/>
                <w:szCs w:val="18"/>
              </w:rPr>
              <w:t>66 (93,0)</w:t>
            </w:r>
          </w:p>
        </w:tc>
        <w:tc>
          <w:tcPr>
            <w:tcW w:w="1239" w:type="pct"/>
            <w:vAlign w:val="center"/>
          </w:tcPr>
          <w:p w14:paraId="4CFB3A74" w14:textId="77777777" w:rsidR="00C73484" w:rsidRPr="00537F80" w:rsidRDefault="00C73484" w:rsidP="006772E9">
            <w:pPr>
              <w:jc w:val="center"/>
              <w:rPr>
                <w:rFonts w:cs="Arial"/>
                <w:sz w:val="18"/>
                <w:szCs w:val="18"/>
              </w:rPr>
            </w:pPr>
            <w:r w:rsidRPr="00537F80">
              <w:rPr>
                <w:sz w:val="18"/>
                <w:szCs w:val="18"/>
              </w:rPr>
              <w:t>67 (91,8)</w:t>
            </w:r>
          </w:p>
        </w:tc>
        <w:tc>
          <w:tcPr>
            <w:tcW w:w="426" w:type="pct"/>
            <w:vAlign w:val="center"/>
          </w:tcPr>
          <w:p w14:paraId="5CFE5D1D" w14:textId="77777777" w:rsidR="00C73484" w:rsidRPr="00537F80" w:rsidRDefault="00C73484" w:rsidP="006772E9">
            <w:pPr>
              <w:jc w:val="center"/>
              <w:rPr>
                <w:rFonts w:cs="Arial"/>
                <w:sz w:val="18"/>
              </w:rPr>
            </w:pPr>
          </w:p>
        </w:tc>
      </w:tr>
    </w:tbl>
    <w:p w14:paraId="31E6A3DD" w14:textId="77777777" w:rsidR="0004286B" w:rsidRDefault="0004286B" w:rsidP="00DE2D9E">
      <w:pPr>
        <w:rPr>
          <w:rFonts w:cs="Arial"/>
          <w:sz w:val="18"/>
        </w:rPr>
      </w:pPr>
    </w:p>
    <w:p w14:paraId="78292275" w14:textId="77777777" w:rsidR="006D00A4" w:rsidRDefault="00DE2D9E" w:rsidP="00DE2D9E">
      <w:pPr>
        <w:rPr>
          <w:rFonts w:cs="Arial"/>
          <w:szCs w:val="22"/>
        </w:rPr>
      </w:pPr>
      <w:r>
        <w:rPr>
          <w:rFonts w:cs="Arial"/>
          <w:szCs w:val="22"/>
        </w:rPr>
        <w:t xml:space="preserve">Le </w:t>
      </w:r>
      <w:r w:rsidR="0004286B">
        <w:rPr>
          <w:rFonts w:cs="Arial"/>
          <w:szCs w:val="22"/>
        </w:rPr>
        <w:t>pourcentage d’arrêts de traitement a été de 58,2% (85</w:t>
      </w:r>
      <w:r w:rsidR="009D5946">
        <w:rPr>
          <w:rFonts w:cs="Arial"/>
          <w:szCs w:val="22"/>
        </w:rPr>
        <w:t>/146). Les raisons principales d’arrêt ont été :</w:t>
      </w:r>
    </w:p>
    <w:p w14:paraId="5D1BE627" w14:textId="0E8AA42A" w:rsidR="009D5946" w:rsidRDefault="005C38EC" w:rsidP="00EE1E16">
      <w:pPr>
        <w:pStyle w:val="Paragraphedeliste"/>
        <w:numPr>
          <w:ilvl w:val="0"/>
          <w:numId w:val="18"/>
        </w:numPr>
        <w:ind w:left="567" w:hanging="141"/>
        <w:rPr>
          <w:rFonts w:cs="Arial"/>
          <w:szCs w:val="22"/>
        </w:rPr>
      </w:pPr>
      <w:r>
        <w:rPr>
          <w:rFonts w:cs="Arial"/>
          <w:szCs w:val="22"/>
        </w:rPr>
        <w:t>é</w:t>
      </w:r>
      <w:r w:rsidR="00187BB6">
        <w:rPr>
          <w:rFonts w:cs="Arial"/>
          <w:szCs w:val="22"/>
        </w:rPr>
        <w:t>véne</w:t>
      </w:r>
      <w:r w:rsidR="003A4915">
        <w:rPr>
          <w:rFonts w:cs="Arial"/>
          <w:szCs w:val="22"/>
        </w:rPr>
        <w:t>ments</w:t>
      </w:r>
      <w:r w:rsidR="009D5946">
        <w:rPr>
          <w:rFonts w:cs="Arial"/>
          <w:szCs w:val="22"/>
        </w:rPr>
        <w:t xml:space="preserve"> indésirables 36,6% (g</w:t>
      </w:r>
      <w:r w:rsidR="00C76A2A">
        <w:rPr>
          <w:rFonts w:cs="Arial"/>
          <w:szCs w:val="22"/>
        </w:rPr>
        <w:t>rou</w:t>
      </w:r>
      <w:r w:rsidR="009D5946">
        <w:rPr>
          <w:rFonts w:cs="Arial"/>
          <w:szCs w:val="22"/>
        </w:rPr>
        <w:t>pe A), 50,0% (g</w:t>
      </w:r>
      <w:r w:rsidR="00C76A2A">
        <w:rPr>
          <w:rFonts w:cs="Arial"/>
          <w:szCs w:val="22"/>
        </w:rPr>
        <w:t>rou</w:t>
      </w:r>
      <w:r w:rsidR="009D5946">
        <w:rPr>
          <w:rFonts w:cs="Arial"/>
          <w:szCs w:val="22"/>
        </w:rPr>
        <w:t>pe B)</w:t>
      </w:r>
    </w:p>
    <w:p w14:paraId="1259458E" w14:textId="7AED61CA" w:rsidR="009D5946" w:rsidRDefault="005C38EC" w:rsidP="00EE1E16">
      <w:pPr>
        <w:pStyle w:val="Paragraphedeliste"/>
        <w:numPr>
          <w:ilvl w:val="0"/>
          <w:numId w:val="18"/>
        </w:numPr>
        <w:ind w:left="567" w:hanging="141"/>
        <w:rPr>
          <w:rFonts w:cs="Arial"/>
          <w:szCs w:val="22"/>
        </w:rPr>
      </w:pPr>
      <w:r>
        <w:rPr>
          <w:rFonts w:cs="Arial"/>
          <w:szCs w:val="22"/>
        </w:rPr>
        <w:t>m</w:t>
      </w:r>
      <w:r w:rsidR="009D5946">
        <w:rPr>
          <w:rFonts w:cs="Arial"/>
          <w:szCs w:val="22"/>
        </w:rPr>
        <w:t>anque d’efficacité 12,2% vs 0%</w:t>
      </w:r>
    </w:p>
    <w:p w14:paraId="05CE14D5" w14:textId="63699673" w:rsidR="00566729" w:rsidRDefault="005C38EC" w:rsidP="00EE1E16">
      <w:pPr>
        <w:pStyle w:val="Paragraphedeliste"/>
        <w:numPr>
          <w:ilvl w:val="0"/>
          <w:numId w:val="18"/>
        </w:numPr>
        <w:ind w:left="567" w:hanging="141"/>
        <w:rPr>
          <w:rFonts w:cs="Arial"/>
          <w:szCs w:val="22"/>
        </w:rPr>
      </w:pPr>
      <w:r>
        <w:rPr>
          <w:rFonts w:cs="Arial"/>
          <w:szCs w:val="22"/>
        </w:rPr>
        <w:t>a</w:t>
      </w:r>
      <w:r w:rsidR="009D5946">
        <w:rPr>
          <w:rFonts w:cs="Arial"/>
          <w:szCs w:val="22"/>
        </w:rPr>
        <w:t>utres 39% vs 27,3% (progression de la maladie 56,3% vs 58,3% ; décision de l’investigateur 18,8% vs 25%)</w:t>
      </w:r>
      <w:r w:rsidR="00FE66F6">
        <w:rPr>
          <w:rFonts w:cs="Arial"/>
          <w:szCs w:val="22"/>
        </w:rPr>
        <w:t>.</w:t>
      </w:r>
    </w:p>
    <w:p w14:paraId="5AECF02E" w14:textId="77777777" w:rsidR="00C76A2A" w:rsidRDefault="00C76A2A" w:rsidP="00461436">
      <w:pPr>
        <w:rPr>
          <w:rFonts w:cs="Arial"/>
          <w:szCs w:val="22"/>
        </w:rPr>
      </w:pPr>
    </w:p>
    <w:p w14:paraId="39A23AA5" w14:textId="7432FC86" w:rsidR="00461436" w:rsidRDefault="00461436" w:rsidP="00461436">
      <w:pPr>
        <w:rPr>
          <w:rFonts w:cs="Arial"/>
          <w:szCs w:val="22"/>
        </w:rPr>
      </w:pPr>
      <w:r>
        <w:rPr>
          <w:rFonts w:cs="Arial"/>
          <w:szCs w:val="22"/>
        </w:rPr>
        <w:t>Au moins une déviation majeur</w:t>
      </w:r>
      <w:r w:rsidR="000B5307">
        <w:rPr>
          <w:rFonts w:cs="Arial"/>
          <w:szCs w:val="22"/>
        </w:rPr>
        <w:t>e</w:t>
      </w:r>
      <w:r>
        <w:rPr>
          <w:rFonts w:cs="Arial"/>
          <w:szCs w:val="22"/>
        </w:rPr>
        <w:t xml:space="preserve"> au protocole a été observée </w:t>
      </w:r>
      <w:r w:rsidR="0046413C">
        <w:rPr>
          <w:rFonts w:cs="Arial"/>
          <w:szCs w:val="22"/>
        </w:rPr>
        <w:t xml:space="preserve">respectivement </w:t>
      </w:r>
      <w:r>
        <w:rPr>
          <w:rFonts w:cs="Arial"/>
          <w:szCs w:val="22"/>
        </w:rPr>
        <w:t>chez 32,4% et 65,8% des patients. La plus fréquente déviation observée a été l’adaptation de la posologie effectuée au cours de la journée (31,0% v</w:t>
      </w:r>
      <w:r w:rsidR="0046413C">
        <w:rPr>
          <w:rFonts w:cs="Arial"/>
          <w:szCs w:val="22"/>
        </w:rPr>
        <w:t>ersus</w:t>
      </w:r>
      <w:r>
        <w:rPr>
          <w:rFonts w:cs="Arial"/>
          <w:szCs w:val="22"/>
        </w:rPr>
        <w:t xml:space="preserve"> 60,3%</w:t>
      </w:r>
      <w:r w:rsidR="0046413C">
        <w:rPr>
          <w:rFonts w:cs="Arial"/>
          <w:szCs w:val="22"/>
        </w:rPr>
        <w:t xml:space="preserve"> des patients</w:t>
      </w:r>
      <w:r>
        <w:rPr>
          <w:rFonts w:cs="Arial"/>
          <w:szCs w:val="22"/>
        </w:rPr>
        <w:t>)</w:t>
      </w:r>
      <w:r w:rsidR="008F4E1B">
        <w:rPr>
          <w:rFonts w:cs="Arial"/>
          <w:szCs w:val="22"/>
        </w:rPr>
        <w:t> : 22 patients du g</w:t>
      </w:r>
      <w:r w:rsidR="00C76A2A">
        <w:rPr>
          <w:rFonts w:cs="Arial"/>
          <w:szCs w:val="22"/>
        </w:rPr>
        <w:t>rou</w:t>
      </w:r>
      <w:r w:rsidR="008F4E1B">
        <w:rPr>
          <w:rFonts w:cs="Arial"/>
          <w:szCs w:val="22"/>
        </w:rPr>
        <w:t>pe A (52 déviations)</w:t>
      </w:r>
      <w:r w:rsidR="0046413C">
        <w:rPr>
          <w:rFonts w:cs="Arial"/>
          <w:szCs w:val="22"/>
        </w:rPr>
        <w:t xml:space="preserve">, </w:t>
      </w:r>
      <w:r w:rsidR="008F4E1B">
        <w:rPr>
          <w:rFonts w:cs="Arial"/>
          <w:szCs w:val="22"/>
        </w:rPr>
        <w:t>44 patients du g</w:t>
      </w:r>
      <w:r w:rsidR="00C76A2A">
        <w:rPr>
          <w:rFonts w:cs="Arial"/>
          <w:szCs w:val="22"/>
        </w:rPr>
        <w:t>rou</w:t>
      </w:r>
      <w:r w:rsidR="008F4E1B">
        <w:rPr>
          <w:rFonts w:cs="Arial"/>
          <w:szCs w:val="22"/>
        </w:rPr>
        <w:t>pe B (69 déviations)</w:t>
      </w:r>
      <w:r w:rsidR="000B5307">
        <w:rPr>
          <w:rFonts w:cs="Arial"/>
          <w:szCs w:val="22"/>
        </w:rPr>
        <w:t>.</w:t>
      </w:r>
    </w:p>
    <w:p w14:paraId="1FB09FA3" w14:textId="77777777" w:rsidR="000B5307" w:rsidRPr="00461436" w:rsidRDefault="000B5307" w:rsidP="00461436">
      <w:pPr>
        <w:rPr>
          <w:rFonts w:cs="Arial"/>
          <w:szCs w:val="22"/>
        </w:rPr>
      </w:pPr>
    </w:p>
    <w:p w14:paraId="55E905EF" w14:textId="77777777" w:rsidR="00C75A92" w:rsidRPr="004B6778" w:rsidRDefault="00C75A92" w:rsidP="00C628D5">
      <w:pPr>
        <w:pStyle w:val="Paragraphedeliste"/>
        <w:numPr>
          <w:ilvl w:val="0"/>
          <w:numId w:val="26"/>
        </w:numPr>
        <w:ind w:left="284" w:hanging="284"/>
        <w:rPr>
          <w:u w:val="single"/>
        </w:rPr>
      </w:pPr>
      <w:r w:rsidRPr="004B6778">
        <w:rPr>
          <w:u w:val="single"/>
        </w:rPr>
        <w:t>Résultats sur les critères de jugement secondaires</w:t>
      </w:r>
    </w:p>
    <w:p w14:paraId="679573DE" w14:textId="1E3DCBFD" w:rsidR="003F21C8" w:rsidRPr="00901C06" w:rsidRDefault="003F21C8" w:rsidP="00551338">
      <w:pPr>
        <w:rPr>
          <w:rFonts w:cs="Arial"/>
          <w:szCs w:val="22"/>
        </w:rPr>
      </w:pPr>
      <w:r w:rsidRPr="00B46C70">
        <w:rPr>
          <w:rFonts w:cs="Arial"/>
          <w:szCs w:val="22"/>
        </w:rPr>
        <w:t xml:space="preserve">Aucune différence n’a été mise en évidence entre les </w:t>
      </w:r>
      <w:r w:rsidR="00981BA0">
        <w:rPr>
          <w:rFonts w:cs="Arial"/>
          <w:szCs w:val="22"/>
        </w:rPr>
        <w:t>deux</w:t>
      </w:r>
      <w:r w:rsidRPr="00B46C70">
        <w:rPr>
          <w:rFonts w:cs="Arial"/>
          <w:szCs w:val="22"/>
        </w:rPr>
        <w:t xml:space="preserve"> groupes sur les critères secondaires</w:t>
      </w:r>
      <w:r w:rsidR="004350DF">
        <w:rPr>
          <w:rFonts w:cs="Arial"/>
          <w:szCs w:val="22"/>
        </w:rPr>
        <w:t>.</w:t>
      </w:r>
      <w:r w:rsidR="007B766B" w:rsidRPr="00B46C70">
        <w:rPr>
          <w:rFonts w:cs="Arial"/>
          <w:szCs w:val="22"/>
        </w:rPr>
        <w:t xml:space="preserve"> </w:t>
      </w:r>
    </w:p>
    <w:p w14:paraId="6B8B07E1" w14:textId="77777777" w:rsidR="009654F2" w:rsidRDefault="009654F2" w:rsidP="00551338">
      <w:pPr>
        <w:rPr>
          <w:rFonts w:cs="Arial"/>
          <w:szCs w:val="22"/>
        </w:rPr>
      </w:pPr>
    </w:p>
    <w:p w14:paraId="4FBA22B9" w14:textId="77777777" w:rsidR="009654F2" w:rsidRPr="009654F2" w:rsidRDefault="009654F2" w:rsidP="009654F2">
      <w:pPr>
        <w:pStyle w:val="Titre3"/>
      </w:pPr>
      <w:r>
        <w:t>Revue Cochrane de 2017</w:t>
      </w:r>
      <w:r>
        <w:rPr>
          <w:rStyle w:val="Appelnotedebasdep"/>
          <w:rFonts w:cs="Arial"/>
          <w:sz w:val="18"/>
        </w:rPr>
        <w:footnoteReference w:id="13"/>
      </w:r>
    </w:p>
    <w:p w14:paraId="32D2E0E9" w14:textId="77777777" w:rsidR="000C6B5B" w:rsidRPr="007F4750" w:rsidRDefault="001C3C30" w:rsidP="000C6B5B">
      <w:pPr>
        <w:rPr>
          <w:rFonts w:cs="Arial"/>
          <w:szCs w:val="22"/>
        </w:rPr>
      </w:pPr>
      <w:r w:rsidRPr="007F4750">
        <w:rPr>
          <w:rFonts w:cs="Arial"/>
          <w:szCs w:val="22"/>
        </w:rPr>
        <w:t xml:space="preserve">La revue systématique de la littérature Cochrane, réalisée en 2017, avait pour objectif </w:t>
      </w:r>
      <w:r w:rsidR="000C6B5B" w:rsidRPr="007F4750">
        <w:rPr>
          <w:rFonts w:cs="Arial"/>
          <w:szCs w:val="22"/>
        </w:rPr>
        <w:t>d’évaluer l’efficacité et la tolérance de la méthadone dans la prise en charge de</w:t>
      </w:r>
      <w:r w:rsidR="00EC2E06" w:rsidRPr="007F4750">
        <w:rPr>
          <w:rFonts w:cs="Arial"/>
          <w:szCs w:val="22"/>
        </w:rPr>
        <w:t>s</w:t>
      </w:r>
      <w:r w:rsidR="000C6B5B" w:rsidRPr="007F4750">
        <w:rPr>
          <w:rFonts w:cs="Arial"/>
          <w:szCs w:val="22"/>
        </w:rPr>
        <w:t xml:space="preserve"> douleur</w:t>
      </w:r>
      <w:r w:rsidR="00EC2E06" w:rsidRPr="007F4750">
        <w:rPr>
          <w:rFonts w:cs="Arial"/>
          <w:szCs w:val="22"/>
        </w:rPr>
        <w:t>s</w:t>
      </w:r>
      <w:r w:rsidR="000C6B5B" w:rsidRPr="007F4750">
        <w:rPr>
          <w:rFonts w:cs="Arial"/>
          <w:szCs w:val="22"/>
        </w:rPr>
        <w:t xml:space="preserve"> </w:t>
      </w:r>
      <w:r w:rsidR="00EC2E06" w:rsidRPr="007F4750">
        <w:rPr>
          <w:rFonts w:cs="Arial"/>
          <w:szCs w:val="22"/>
        </w:rPr>
        <w:t xml:space="preserve">d’origine cancéreuse chez l’adulte et </w:t>
      </w:r>
      <w:r w:rsidR="000C6B5B" w:rsidRPr="007F4750">
        <w:rPr>
          <w:rFonts w:cs="Arial"/>
          <w:szCs w:val="22"/>
        </w:rPr>
        <w:t xml:space="preserve">l’enfant. </w:t>
      </w:r>
    </w:p>
    <w:p w14:paraId="5F0B0BFB" w14:textId="77777777" w:rsidR="000C6B5B" w:rsidRPr="007F4750" w:rsidRDefault="000C6B5B" w:rsidP="008E1534">
      <w:pPr>
        <w:pStyle w:val="PrformatHTML"/>
        <w:rPr>
          <w:rFonts w:ascii="Arial" w:hAnsi="Arial" w:cs="Arial"/>
          <w:color w:val="222222"/>
          <w:sz w:val="22"/>
          <w:szCs w:val="22"/>
        </w:rPr>
      </w:pPr>
    </w:p>
    <w:p w14:paraId="45D78502" w14:textId="2EB25C0D" w:rsidR="00A54FEF" w:rsidRPr="007F4750" w:rsidRDefault="00EC2E06" w:rsidP="008E1534">
      <w:pPr>
        <w:pStyle w:val="PrformatHTML"/>
        <w:jc w:val="both"/>
        <w:rPr>
          <w:rFonts w:ascii="Arial" w:hAnsi="Arial" w:cs="Arial"/>
          <w:color w:val="222222"/>
          <w:sz w:val="22"/>
          <w:szCs w:val="22"/>
        </w:rPr>
      </w:pPr>
      <w:r w:rsidRPr="007F4750">
        <w:rPr>
          <w:rFonts w:ascii="Arial" w:hAnsi="Arial" w:cs="Arial"/>
          <w:color w:val="222222"/>
          <w:sz w:val="22"/>
          <w:szCs w:val="22"/>
        </w:rPr>
        <w:t>La</w:t>
      </w:r>
      <w:r w:rsidR="00A54FEF" w:rsidRPr="007F4750">
        <w:rPr>
          <w:rFonts w:ascii="Arial" w:hAnsi="Arial" w:cs="Arial"/>
          <w:color w:val="222222"/>
          <w:sz w:val="22"/>
          <w:szCs w:val="22"/>
        </w:rPr>
        <w:t xml:space="preserve"> </w:t>
      </w:r>
      <w:r w:rsidR="00A54FEF" w:rsidRPr="00E65F8A">
        <w:rPr>
          <w:rFonts w:ascii="Arial" w:hAnsi="Arial" w:cs="Arial"/>
          <w:sz w:val="22"/>
          <w:szCs w:val="22"/>
        </w:rPr>
        <w:t xml:space="preserve">recherche </w:t>
      </w:r>
      <w:r w:rsidRPr="00E65F8A">
        <w:rPr>
          <w:rFonts w:ascii="Arial" w:hAnsi="Arial" w:cs="Arial"/>
          <w:sz w:val="22"/>
          <w:szCs w:val="22"/>
        </w:rPr>
        <w:t xml:space="preserve">a porté </w:t>
      </w:r>
      <w:r w:rsidR="00FF38B2" w:rsidRPr="00E65F8A">
        <w:rPr>
          <w:rFonts w:ascii="Arial" w:hAnsi="Arial" w:cs="Arial"/>
          <w:sz w:val="22"/>
          <w:szCs w:val="22"/>
        </w:rPr>
        <w:t>sur les études</w:t>
      </w:r>
      <w:r w:rsidR="00FE66F6">
        <w:rPr>
          <w:rFonts w:ascii="Arial" w:hAnsi="Arial" w:cs="Arial"/>
          <w:sz w:val="22"/>
          <w:szCs w:val="22"/>
        </w:rPr>
        <w:t xml:space="preserve"> </w:t>
      </w:r>
      <w:r w:rsidR="00FF38B2" w:rsidRPr="00E65F8A">
        <w:rPr>
          <w:rFonts w:ascii="Arial" w:hAnsi="Arial" w:cs="Arial"/>
          <w:sz w:val="22"/>
          <w:szCs w:val="22"/>
        </w:rPr>
        <w:t>contrôlé</w:t>
      </w:r>
      <w:r w:rsidR="00FE66F6">
        <w:rPr>
          <w:rFonts w:ascii="Arial" w:hAnsi="Arial" w:cs="Arial"/>
          <w:sz w:val="22"/>
          <w:szCs w:val="22"/>
        </w:rPr>
        <w:t>e</w:t>
      </w:r>
      <w:r w:rsidR="00FF38B2" w:rsidRPr="00E65F8A">
        <w:rPr>
          <w:rFonts w:ascii="Arial" w:hAnsi="Arial" w:cs="Arial"/>
          <w:sz w:val="22"/>
          <w:szCs w:val="22"/>
        </w:rPr>
        <w:t>s randomisé</w:t>
      </w:r>
      <w:r w:rsidR="00FE66F6">
        <w:rPr>
          <w:rFonts w:ascii="Arial" w:hAnsi="Arial" w:cs="Arial"/>
          <w:sz w:val="22"/>
          <w:szCs w:val="22"/>
        </w:rPr>
        <w:t>e</w:t>
      </w:r>
      <w:r w:rsidR="00FF38B2" w:rsidRPr="00E65F8A">
        <w:rPr>
          <w:rFonts w:ascii="Arial" w:hAnsi="Arial" w:cs="Arial"/>
          <w:sz w:val="22"/>
          <w:szCs w:val="22"/>
        </w:rPr>
        <w:t xml:space="preserve">s comparant la méthadone (toute formulation et par toute voie) à des comparateurs </w:t>
      </w:r>
      <w:r w:rsidR="00FF38B2" w:rsidRPr="007F4750">
        <w:rPr>
          <w:rFonts w:ascii="Arial" w:hAnsi="Arial" w:cs="Arial"/>
          <w:color w:val="222222"/>
          <w:sz w:val="22"/>
          <w:szCs w:val="22"/>
        </w:rPr>
        <w:t>actifs ou à un placebo</w:t>
      </w:r>
      <w:r w:rsidR="00ED3740">
        <w:rPr>
          <w:rFonts w:ascii="Arial" w:hAnsi="Arial" w:cs="Arial"/>
          <w:color w:val="222222"/>
          <w:sz w:val="22"/>
          <w:szCs w:val="22"/>
        </w:rPr>
        <w:t>,</w:t>
      </w:r>
      <w:r w:rsidR="00FF38B2" w:rsidRPr="007F4750">
        <w:rPr>
          <w:rFonts w:ascii="Arial" w:hAnsi="Arial" w:cs="Arial"/>
          <w:color w:val="222222"/>
          <w:sz w:val="22"/>
          <w:szCs w:val="22"/>
        </w:rPr>
        <w:t xml:space="preserve"> réalisées chez des patients ayant des douleurs d’origine </w:t>
      </w:r>
      <w:r w:rsidR="00FF38B2" w:rsidRPr="00352A33">
        <w:rPr>
          <w:rFonts w:ascii="Arial" w:hAnsi="Arial" w:cs="Arial"/>
          <w:sz w:val="22"/>
          <w:szCs w:val="22"/>
        </w:rPr>
        <w:t>cancéreuse (</w:t>
      </w:r>
      <w:r w:rsidR="00352A33" w:rsidRPr="00352A33">
        <w:rPr>
          <w:rFonts w:ascii="Arial" w:hAnsi="Arial" w:cs="Arial"/>
          <w:sz w:val="22"/>
          <w:szCs w:val="22"/>
        </w:rPr>
        <w:t xml:space="preserve">à partir des </w:t>
      </w:r>
      <w:r w:rsidR="007F4750" w:rsidRPr="00352A33">
        <w:rPr>
          <w:rFonts w:ascii="Arial" w:hAnsi="Arial" w:cs="Arial"/>
          <w:sz w:val="22"/>
          <w:szCs w:val="22"/>
        </w:rPr>
        <w:t xml:space="preserve">bases de données </w:t>
      </w:r>
      <w:r w:rsidR="00A54FEF" w:rsidRPr="00352A33">
        <w:rPr>
          <w:rFonts w:ascii="Arial" w:hAnsi="Arial" w:cs="Arial"/>
          <w:sz w:val="22"/>
          <w:szCs w:val="22"/>
        </w:rPr>
        <w:t>CENTRAL, MEDLINE, Embase, CINAHL et clinicaltrials.gov,</w:t>
      </w:r>
      <w:r w:rsidR="007F4750" w:rsidRPr="00352A33">
        <w:rPr>
          <w:rFonts w:ascii="Arial" w:hAnsi="Arial" w:cs="Arial"/>
          <w:sz w:val="22"/>
          <w:szCs w:val="22"/>
        </w:rPr>
        <w:t xml:space="preserve"> jus</w:t>
      </w:r>
      <w:r w:rsidR="007F4750" w:rsidRPr="007F4750">
        <w:rPr>
          <w:rFonts w:ascii="Arial" w:hAnsi="Arial" w:cs="Arial"/>
          <w:color w:val="222222"/>
          <w:sz w:val="22"/>
          <w:szCs w:val="22"/>
        </w:rPr>
        <w:t>qu'en mai 2016</w:t>
      </w:r>
      <w:r w:rsidR="00FF38B2">
        <w:rPr>
          <w:rFonts w:ascii="Arial" w:hAnsi="Arial" w:cs="Arial"/>
          <w:color w:val="222222"/>
          <w:sz w:val="22"/>
          <w:szCs w:val="22"/>
        </w:rPr>
        <w:t>) ;</w:t>
      </w:r>
      <w:r w:rsidR="007F4750" w:rsidRPr="007F4750">
        <w:rPr>
          <w:rFonts w:ascii="Arial" w:hAnsi="Arial" w:cs="Arial"/>
          <w:color w:val="222222"/>
          <w:sz w:val="22"/>
          <w:szCs w:val="22"/>
        </w:rPr>
        <w:t xml:space="preserve"> </w:t>
      </w:r>
      <w:r w:rsidRPr="007F4750">
        <w:rPr>
          <w:rFonts w:ascii="Arial" w:hAnsi="Arial" w:cs="Arial"/>
          <w:color w:val="222222"/>
          <w:sz w:val="22"/>
          <w:szCs w:val="22"/>
        </w:rPr>
        <w:t>une vérification d</w:t>
      </w:r>
      <w:r w:rsidR="00A54FEF" w:rsidRPr="007F4750">
        <w:rPr>
          <w:rFonts w:ascii="Arial" w:hAnsi="Arial" w:cs="Arial"/>
          <w:color w:val="222222"/>
          <w:sz w:val="22"/>
          <w:szCs w:val="22"/>
        </w:rPr>
        <w:t>es listes de références dans les articles pert</w:t>
      </w:r>
      <w:r w:rsidR="007F4750" w:rsidRPr="007F4750">
        <w:rPr>
          <w:rFonts w:ascii="Arial" w:hAnsi="Arial" w:cs="Arial"/>
          <w:color w:val="222222"/>
          <w:sz w:val="22"/>
          <w:szCs w:val="22"/>
        </w:rPr>
        <w:t>inents a été effectuée.</w:t>
      </w:r>
    </w:p>
    <w:p w14:paraId="78167BFC" w14:textId="2FE0697C" w:rsidR="008C3E8E" w:rsidRPr="008C3E8E" w:rsidRDefault="00EC2E06" w:rsidP="008E1534">
      <w:pPr>
        <w:rPr>
          <w:rFonts w:cs="Arial"/>
          <w:color w:val="222222"/>
          <w:szCs w:val="22"/>
        </w:rPr>
      </w:pPr>
      <w:r w:rsidRPr="007F4750">
        <w:rPr>
          <w:rFonts w:cs="Arial"/>
          <w:color w:val="222222"/>
          <w:szCs w:val="22"/>
        </w:rPr>
        <w:t xml:space="preserve">Après </w:t>
      </w:r>
      <w:r w:rsidR="007F4750">
        <w:rPr>
          <w:rFonts w:cs="Arial"/>
          <w:color w:val="222222"/>
          <w:szCs w:val="22"/>
        </w:rPr>
        <w:t xml:space="preserve">avoir </w:t>
      </w:r>
      <w:r w:rsidR="001C3C30" w:rsidRPr="007F4750">
        <w:rPr>
          <w:rFonts w:cs="Arial"/>
          <w:color w:val="222222"/>
          <w:szCs w:val="22"/>
        </w:rPr>
        <w:t>réexami</w:t>
      </w:r>
      <w:r w:rsidRPr="007F4750">
        <w:rPr>
          <w:rFonts w:cs="Arial"/>
          <w:color w:val="222222"/>
          <w:szCs w:val="22"/>
        </w:rPr>
        <w:t>n</w:t>
      </w:r>
      <w:r w:rsidR="007F4750">
        <w:rPr>
          <w:rFonts w:cs="Arial"/>
          <w:color w:val="222222"/>
          <w:szCs w:val="22"/>
        </w:rPr>
        <w:t>é</w:t>
      </w:r>
      <w:r w:rsidRPr="007F4750">
        <w:rPr>
          <w:rFonts w:cs="Arial"/>
          <w:color w:val="222222"/>
          <w:szCs w:val="22"/>
        </w:rPr>
        <w:t xml:space="preserve"> </w:t>
      </w:r>
      <w:r w:rsidR="007F4750">
        <w:rPr>
          <w:rFonts w:cs="Arial"/>
          <w:color w:val="222222"/>
          <w:szCs w:val="22"/>
        </w:rPr>
        <w:t>l</w:t>
      </w:r>
      <w:r w:rsidR="00D275C6" w:rsidRPr="007F4750">
        <w:rPr>
          <w:rFonts w:cs="Arial"/>
          <w:color w:val="222222"/>
          <w:szCs w:val="22"/>
        </w:rPr>
        <w:t xml:space="preserve">a version </w:t>
      </w:r>
      <w:r w:rsidR="00F24822">
        <w:rPr>
          <w:rFonts w:cs="Arial"/>
          <w:color w:val="222222"/>
          <w:szCs w:val="22"/>
        </w:rPr>
        <w:t>actualisée de 2007</w:t>
      </w:r>
      <w:r w:rsidR="007F4750">
        <w:rPr>
          <w:rFonts w:cs="Arial"/>
          <w:color w:val="222222"/>
          <w:szCs w:val="22"/>
        </w:rPr>
        <w:t xml:space="preserve"> </w:t>
      </w:r>
      <w:r w:rsidR="00D275C6" w:rsidRPr="007F4750">
        <w:rPr>
          <w:rFonts w:cs="Arial"/>
          <w:color w:val="222222"/>
          <w:szCs w:val="22"/>
        </w:rPr>
        <w:t>de cette revue</w:t>
      </w:r>
      <w:r w:rsidR="00F90428" w:rsidRPr="007F4750">
        <w:rPr>
          <w:rFonts w:cs="Arial"/>
          <w:color w:val="222222"/>
          <w:szCs w:val="22"/>
        </w:rPr>
        <w:t xml:space="preserve">, </w:t>
      </w:r>
      <w:r w:rsidR="00D275C6" w:rsidRPr="007F4750">
        <w:rPr>
          <w:rFonts w:cs="Arial"/>
          <w:color w:val="222222"/>
          <w:szCs w:val="22"/>
        </w:rPr>
        <w:t>ci</w:t>
      </w:r>
      <w:r w:rsidR="00F90428" w:rsidRPr="007F4750">
        <w:rPr>
          <w:rFonts w:cs="Arial"/>
          <w:color w:val="222222"/>
          <w:szCs w:val="22"/>
        </w:rPr>
        <w:t xml:space="preserve">nq études précédemment </w:t>
      </w:r>
      <w:r w:rsidR="001C3C30" w:rsidRPr="007F4750">
        <w:rPr>
          <w:rFonts w:cs="Arial"/>
          <w:color w:val="222222"/>
          <w:szCs w:val="22"/>
        </w:rPr>
        <w:t>retenues ont été exclu</w:t>
      </w:r>
      <w:r w:rsidR="00F90428" w:rsidRPr="007F4750">
        <w:rPr>
          <w:rFonts w:cs="Arial"/>
          <w:color w:val="222222"/>
          <w:szCs w:val="22"/>
        </w:rPr>
        <w:t>es.</w:t>
      </w:r>
      <w:r w:rsidR="001C3C30" w:rsidRPr="007F4750">
        <w:rPr>
          <w:rFonts w:cs="Arial"/>
          <w:color w:val="222222"/>
          <w:szCs w:val="22"/>
        </w:rPr>
        <w:t xml:space="preserve"> </w:t>
      </w:r>
      <w:r w:rsidR="00F90428" w:rsidRPr="007F4750">
        <w:rPr>
          <w:rFonts w:cs="Arial"/>
          <w:color w:val="222222"/>
          <w:szCs w:val="22"/>
        </w:rPr>
        <w:t>Une n</w:t>
      </w:r>
      <w:r w:rsidR="00D275C6" w:rsidRPr="007F4750">
        <w:rPr>
          <w:rFonts w:cs="Arial"/>
          <w:color w:val="222222"/>
          <w:szCs w:val="22"/>
        </w:rPr>
        <w:t xml:space="preserve">ouvelle étude </w:t>
      </w:r>
      <w:r w:rsidR="00F90428" w:rsidRPr="007F4750">
        <w:rPr>
          <w:rFonts w:cs="Arial"/>
          <w:color w:val="222222"/>
          <w:szCs w:val="22"/>
        </w:rPr>
        <w:t>a été identifiée</w:t>
      </w:r>
      <w:r w:rsidR="00D275C6" w:rsidRPr="007F4750">
        <w:rPr>
          <w:rFonts w:cs="Arial"/>
          <w:color w:val="222222"/>
          <w:szCs w:val="22"/>
        </w:rPr>
        <w:t xml:space="preserve">. </w:t>
      </w:r>
      <w:r w:rsidR="008C3E8E" w:rsidRPr="007F4750">
        <w:rPr>
          <w:rFonts w:cs="Arial"/>
          <w:szCs w:val="22"/>
        </w:rPr>
        <w:t xml:space="preserve"> </w:t>
      </w:r>
    </w:p>
    <w:p w14:paraId="119F5FB8" w14:textId="77777777" w:rsidR="00D275C6" w:rsidRPr="007F4750" w:rsidRDefault="00F90428" w:rsidP="008E1534">
      <w:pPr>
        <w:pStyle w:val="PrformatHTML"/>
        <w:jc w:val="both"/>
        <w:rPr>
          <w:rFonts w:ascii="Arial" w:hAnsi="Arial" w:cs="Arial"/>
          <w:color w:val="222222"/>
          <w:sz w:val="22"/>
          <w:szCs w:val="22"/>
        </w:rPr>
      </w:pPr>
      <w:r w:rsidRPr="007F4750">
        <w:rPr>
          <w:rFonts w:ascii="Arial" w:hAnsi="Arial" w:cs="Arial"/>
          <w:color w:val="222222"/>
          <w:sz w:val="22"/>
          <w:szCs w:val="22"/>
        </w:rPr>
        <w:t xml:space="preserve">La </w:t>
      </w:r>
      <w:r w:rsidR="00D275C6" w:rsidRPr="007F4750">
        <w:rPr>
          <w:rFonts w:ascii="Arial" w:hAnsi="Arial" w:cs="Arial"/>
          <w:color w:val="222222"/>
          <w:sz w:val="22"/>
          <w:szCs w:val="22"/>
        </w:rPr>
        <w:t xml:space="preserve">revue </w:t>
      </w:r>
      <w:r w:rsidR="008C3E8E">
        <w:rPr>
          <w:rFonts w:ascii="Arial" w:hAnsi="Arial" w:cs="Arial"/>
          <w:color w:val="222222"/>
          <w:sz w:val="22"/>
          <w:szCs w:val="22"/>
        </w:rPr>
        <w:t>a inclus</w:t>
      </w:r>
      <w:r w:rsidR="00D275C6" w:rsidRPr="007F4750">
        <w:rPr>
          <w:rFonts w:ascii="Arial" w:hAnsi="Arial" w:cs="Arial"/>
          <w:color w:val="222222"/>
          <w:sz w:val="22"/>
          <w:szCs w:val="22"/>
        </w:rPr>
        <w:t xml:space="preserve"> </w:t>
      </w:r>
      <w:r w:rsidR="008C3E8E">
        <w:rPr>
          <w:rFonts w:ascii="Arial" w:hAnsi="Arial" w:cs="Arial"/>
          <w:color w:val="222222"/>
          <w:sz w:val="22"/>
          <w:szCs w:val="22"/>
        </w:rPr>
        <w:t xml:space="preserve">au total </w:t>
      </w:r>
      <w:r w:rsidR="00D275C6" w:rsidRPr="007F4750">
        <w:rPr>
          <w:rFonts w:ascii="Arial" w:hAnsi="Arial" w:cs="Arial"/>
          <w:color w:val="222222"/>
          <w:sz w:val="22"/>
          <w:szCs w:val="22"/>
        </w:rPr>
        <w:t xml:space="preserve">six études </w:t>
      </w:r>
      <w:r w:rsidR="008C3E8E">
        <w:rPr>
          <w:rFonts w:ascii="Arial" w:hAnsi="Arial" w:cs="Arial"/>
          <w:color w:val="222222"/>
          <w:sz w:val="22"/>
          <w:szCs w:val="22"/>
        </w:rPr>
        <w:t>cliniques ayant évalué</w:t>
      </w:r>
      <w:r w:rsidR="00D275C6" w:rsidRPr="007F4750">
        <w:rPr>
          <w:rFonts w:ascii="Arial" w:hAnsi="Arial" w:cs="Arial"/>
          <w:color w:val="222222"/>
          <w:sz w:val="22"/>
          <w:szCs w:val="22"/>
        </w:rPr>
        <w:t xml:space="preserve"> 388 </w:t>
      </w:r>
      <w:r w:rsidR="008C3E8E">
        <w:rPr>
          <w:rFonts w:ascii="Arial" w:hAnsi="Arial" w:cs="Arial"/>
          <w:color w:val="222222"/>
          <w:sz w:val="22"/>
          <w:szCs w:val="22"/>
        </w:rPr>
        <w:t>patients</w:t>
      </w:r>
      <w:r w:rsidR="00D275C6" w:rsidRPr="007F4750">
        <w:rPr>
          <w:rFonts w:ascii="Arial" w:hAnsi="Arial" w:cs="Arial"/>
          <w:color w:val="222222"/>
          <w:sz w:val="22"/>
          <w:szCs w:val="22"/>
        </w:rPr>
        <w:t xml:space="preserve">. </w:t>
      </w:r>
      <w:r w:rsidR="00F24822" w:rsidRPr="007F4750">
        <w:rPr>
          <w:rFonts w:ascii="Arial" w:hAnsi="Arial" w:cs="Arial"/>
          <w:color w:val="222222"/>
          <w:sz w:val="22"/>
          <w:szCs w:val="22"/>
        </w:rPr>
        <w:t>Aucune étude réalisée chez l’enfant n’a été identifiée</w:t>
      </w:r>
      <w:r w:rsidR="004B4EBC">
        <w:rPr>
          <w:rFonts w:ascii="Arial" w:hAnsi="Arial" w:cs="Arial"/>
          <w:color w:val="222222"/>
          <w:sz w:val="22"/>
          <w:szCs w:val="22"/>
        </w:rPr>
        <w:t>.</w:t>
      </w:r>
    </w:p>
    <w:p w14:paraId="2A27E259" w14:textId="77777777" w:rsidR="0074196B" w:rsidRPr="000C6B5B" w:rsidRDefault="000216E1" w:rsidP="008E1534">
      <w:pPr>
        <w:rPr>
          <w:i/>
        </w:rPr>
      </w:pPr>
      <w:r>
        <w:rPr>
          <w:rFonts w:cs="Arial"/>
          <w:color w:val="222222"/>
          <w:szCs w:val="22"/>
        </w:rPr>
        <w:t>La synthèse des résultats des études retenues n’a pas été réalisable du fait de la diversité des méthodologies utilisées et des comparaisons effectuées</w:t>
      </w:r>
      <w:r w:rsidR="00D275C6" w:rsidRPr="007F4750">
        <w:rPr>
          <w:rFonts w:cs="Arial"/>
          <w:color w:val="222222"/>
          <w:szCs w:val="22"/>
        </w:rPr>
        <w:t xml:space="preserve">. </w:t>
      </w:r>
    </w:p>
    <w:p w14:paraId="57233544" w14:textId="5C96D8A7" w:rsidR="005F18E8" w:rsidRDefault="00D275C6" w:rsidP="008E1534">
      <w:pPr>
        <w:pStyle w:val="PrformatHTML"/>
        <w:jc w:val="both"/>
        <w:rPr>
          <w:rFonts w:ascii="Arial" w:hAnsi="Arial" w:cs="Arial"/>
          <w:color w:val="222222"/>
          <w:sz w:val="22"/>
          <w:szCs w:val="22"/>
        </w:rPr>
      </w:pPr>
      <w:r w:rsidRPr="007F4750">
        <w:rPr>
          <w:rFonts w:ascii="Arial" w:hAnsi="Arial" w:cs="Arial"/>
          <w:color w:val="222222"/>
          <w:sz w:val="22"/>
          <w:szCs w:val="22"/>
        </w:rPr>
        <w:t xml:space="preserve">Une seule </w:t>
      </w:r>
      <w:r w:rsidRPr="000C7516">
        <w:rPr>
          <w:rFonts w:ascii="Arial" w:hAnsi="Arial" w:cs="Arial"/>
          <w:color w:val="222222"/>
          <w:sz w:val="22"/>
          <w:szCs w:val="22"/>
        </w:rPr>
        <w:t>étude</w:t>
      </w:r>
      <w:r w:rsidR="00EC2E06" w:rsidRPr="000C7516">
        <w:rPr>
          <w:rFonts w:ascii="Arial" w:hAnsi="Arial" w:cs="Arial"/>
          <w:color w:val="222222"/>
          <w:sz w:val="22"/>
          <w:szCs w:val="22"/>
        </w:rPr>
        <w:t xml:space="preserve"> </w:t>
      </w:r>
      <w:r w:rsidR="00184587" w:rsidRPr="000C7516">
        <w:rPr>
          <w:rFonts w:ascii="Arial" w:hAnsi="Arial" w:cs="Arial"/>
          <w:color w:val="222222"/>
          <w:sz w:val="22"/>
          <w:szCs w:val="22"/>
        </w:rPr>
        <w:t xml:space="preserve">(103 participants) a </w:t>
      </w:r>
      <w:r w:rsidR="0074196B" w:rsidRPr="000C7516">
        <w:rPr>
          <w:rFonts w:ascii="Arial" w:hAnsi="Arial" w:cs="Arial"/>
          <w:color w:val="222222"/>
          <w:sz w:val="22"/>
          <w:szCs w:val="22"/>
        </w:rPr>
        <w:t>spécifiquement rapporté</w:t>
      </w:r>
      <w:r w:rsidRPr="000C7516">
        <w:rPr>
          <w:rFonts w:ascii="Arial" w:hAnsi="Arial" w:cs="Arial"/>
          <w:color w:val="222222"/>
          <w:sz w:val="22"/>
          <w:szCs w:val="22"/>
        </w:rPr>
        <w:t xml:space="preserve"> </w:t>
      </w:r>
      <w:r w:rsidR="004B4EBC" w:rsidRPr="000C7516">
        <w:rPr>
          <w:rFonts w:ascii="Arial" w:hAnsi="Arial" w:cs="Arial"/>
          <w:color w:val="222222"/>
          <w:sz w:val="22"/>
          <w:szCs w:val="22"/>
        </w:rPr>
        <w:t>un</w:t>
      </w:r>
      <w:r w:rsidRPr="000C7516">
        <w:rPr>
          <w:rFonts w:ascii="Arial" w:hAnsi="Arial" w:cs="Arial"/>
          <w:color w:val="222222"/>
          <w:sz w:val="22"/>
          <w:szCs w:val="22"/>
        </w:rPr>
        <w:t xml:space="preserve"> </w:t>
      </w:r>
      <w:r w:rsidR="0074196B" w:rsidRPr="000C7516">
        <w:rPr>
          <w:rFonts w:ascii="Arial" w:hAnsi="Arial" w:cs="Arial"/>
          <w:color w:val="222222"/>
          <w:sz w:val="22"/>
          <w:szCs w:val="22"/>
        </w:rPr>
        <w:t>pourcentage</w:t>
      </w:r>
      <w:r w:rsidRPr="000C7516">
        <w:rPr>
          <w:rFonts w:ascii="Arial" w:hAnsi="Arial" w:cs="Arial"/>
          <w:color w:val="222222"/>
          <w:sz w:val="22"/>
          <w:szCs w:val="22"/>
        </w:rPr>
        <w:t xml:space="preserve"> de participants </w:t>
      </w:r>
      <w:r w:rsidR="0074196B" w:rsidRPr="000C7516">
        <w:rPr>
          <w:rFonts w:ascii="Arial" w:hAnsi="Arial" w:cs="Arial"/>
          <w:color w:val="222222"/>
          <w:sz w:val="22"/>
          <w:szCs w:val="22"/>
        </w:rPr>
        <w:t xml:space="preserve">ayant </w:t>
      </w:r>
      <w:r w:rsidRPr="000C7516">
        <w:rPr>
          <w:rFonts w:ascii="Arial" w:hAnsi="Arial" w:cs="Arial"/>
          <w:color w:val="222222"/>
          <w:sz w:val="22"/>
          <w:szCs w:val="22"/>
        </w:rPr>
        <w:t>un niveau donn</w:t>
      </w:r>
      <w:r w:rsidR="0074196B" w:rsidRPr="000C7516">
        <w:rPr>
          <w:rFonts w:ascii="Arial" w:hAnsi="Arial" w:cs="Arial"/>
          <w:color w:val="222222"/>
          <w:sz w:val="22"/>
          <w:szCs w:val="22"/>
        </w:rPr>
        <w:t xml:space="preserve">é de soulagement de la douleur ; </w:t>
      </w:r>
      <w:r w:rsidR="0074196B" w:rsidRPr="000C7516">
        <w:rPr>
          <w:rFonts w:ascii="Arial" w:hAnsi="Arial" w:cs="Arial"/>
          <w:sz w:val="22"/>
          <w:szCs w:val="22"/>
        </w:rPr>
        <w:t xml:space="preserve">une réduction d’au moins 20% du score de douleur a été rapportée chez 76% des patients du groupe morphine et 75% de ceux du groupe méthadone suggérant une efficacité </w:t>
      </w:r>
      <w:r w:rsidR="00421F58">
        <w:rPr>
          <w:rFonts w:ascii="Arial" w:hAnsi="Arial" w:cs="Arial"/>
          <w:sz w:val="22"/>
          <w:szCs w:val="22"/>
        </w:rPr>
        <w:t xml:space="preserve">semblable de </w:t>
      </w:r>
      <w:r w:rsidR="0074196B" w:rsidRPr="000C7516">
        <w:rPr>
          <w:rFonts w:ascii="Arial" w:hAnsi="Arial" w:cs="Arial"/>
          <w:sz w:val="22"/>
          <w:szCs w:val="22"/>
        </w:rPr>
        <w:t>la mé</w:t>
      </w:r>
      <w:r w:rsidR="004B4EBC" w:rsidRPr="000C7516">
        <w:rPr>
          <w:rFonts w:ascii="Arial" w:hAnsi="Arial" w:cs="Arial"/>
          <w:sz w:val="22"/>
          <w:szCs w:val="22"/>
        </w:rPr>
        <w:t xml:space="preserve">thadone à celle de la </w:t>
      </w:r>
      <w:r w:rsidR="00421F58">
        <w:rPr>
          <w:rFonts w:ascii="Arial" w:hAnsi="Arial" w:cs="Arial"/>
          <w:sz w:val="22"/>
          <w:szCs w:val="22"/>
        </w:rPr>
        <w:t>morphine</w:t>
      </w:r>
      <w:r w:rsidR="004B4EBC" w:rsidRPr="000C7516">
        <w:rPr>
          <w:rFonts w:ascii="Arial" w:hAnsi="Arial" w:cs="Arial"/>
          <w:sz w:val="22"/>
          <w:szCs w:val="22"/>
        </w:rPr>
        <w:t>.</w:t>
      </w:r>
      <w:r w:rsidR="0074196B" w:rsidRPr="000C7516">
        <w:rPr>
          <w:rFonts w:ascii="Arial" w:hAnsi="Arial" w:cs="Arial"/>
          <w:sz w:val="22"/>
          <w:szCs w:val="22"/>
        </w:rPr>
        <w:t xml:space="preserve"> </w:t>
      </w:r>
      <w:r w:rsidRPr="000C7516">
        <w:rPr>
          <w:rFonts w:ascii="Arial" w:hAnsi="Arial" w:cs="Arial"/>
          <w:color w:val="222222"/>
          <w:sz w:val="22"/>
          <w:szCs w:val="22"/>
        </w:rPr>
        <w:t xml:space="preserve">En utilisant </w:t>
      </w:r>
      <w:r w:rsidR="00421F58">
        <w:rPr>
          <w:rFonts w:ascii="Arial" w:hAnsi="Arial" w:cs="Arial"/>
          <w:color w:val="222222"/>
          <w:sz w:val="22"/>
          <w:szCs w:val="22"/>
        </w:rPr>
        <w:t>le critère</w:t>
      </w:r>
      <w:r w:rsidRPr="000C7516">
        <w:rPr>
          <w:rFonts w:ascii="Arial" w:hAnsi="Arial" w:cs="Arial"/>
          <w:color w:val="222222"/>
          <w:sz w:val="22"/>
          <w:szCs w:val="22"/>
        </w:rPr>
        <w:t xml:space="preserve"> "pas </w:t>
      </w:r>
      <w:r w:rsidR="000216E1" w:rsidRPr="000C7516">
        <w:rPr>
          <w:rFonts w:ascii="Arial" w:hAnsi="Arial" w:cs="Arial"/>
          <w:color w:val="222222"/>
          <w:sz w:val="22"/>
          <w:szCs w:val="22"/>
        </w:rPr>
        <w:t>plus</w:t>
      </w:r>
      <w:r w:rsidRPr="000C7516">
        <w:rPr>
          <w:rFonts w:ascii="Arial" w:hAnsi="Arial" w:cs="Arial"/>
          <w:color w:val="222222"/>
          <w:sz w:val="22"/>
          <w:szCs w:val="22"/>
        </w:rPr>
        <w:t xml:space="preserve"> qu'une douleur légère", l</w:t>
      </w:r>
      <w:r w:rsidR="00421F58">
        <w:rPr>
          <w:rFonts w:ascii="Arial" w:hAnsi="Arial" w:cs="Arial"/>
          <w:color w:val="222222"/>
          <w:sz w:val="22"/>
          <w:szCs w:val="22"/>
        </w:rPr>
        <w:t>’efficacité de l</w:t>
      </w:r>
      <w:r w:rsidRPr="000C7516">
        <w:rPr>
          <w:rFonts w:ascii="Arial" w:hAnsi="Arial" w:cs="Arial"/>
          <w:color w:val="222222"/>
          <w:sz w:val="22"/>
          <w:szCs w:val="22"/>
        </w:rPr>
        <w:t xml:space="preserve">a méthadone était </w:t>
      </w:r>
      <w:r w:rsidR="00421F58">
        <w:rPr>
          <w:rFonts w:ascii="Arial" w:hAnsi="Arial" w:cs="Arial"/>
          <w:color w:val="222222"/>
          <w:sz w:val="22"/>
          <w:szCs w:val="22"/>
        </w:rPr>
        <w:t>semblable</w:t>
      </w:r>
      <w:r w:rsidR="00EC2E06" w:rsidRPr="000C7516">
        <w:rPr>
          <w:rFonts w:ascii="Arial" w:hAnsi="Arial" w:cs="Arial"/>
          <w:color w:val="222222"/>
          <w:sz w:val="22"/>
          <w:szCs w:val="22"/>
        </w:rPr>
        <w:t xml:space="preserve"> à </w:t>
      </w:r>
      <w:r w:rsidR="00421F58">
        <w:rPr>
          <w:rFonts w:ascii="Arial" w:hAnsi="Arial" w:cs="Arial"/>
          <w:color w:val="222222"/>
          <w:sz w:val="22"/>
          <w:szCs w:val="22"/>
        </w:rPr>
        <w:t xml:space="preserve">celle de </w:t>
      </w:r>
      <w:r w:rsidR="00EC2E06" w:rsidRPr="000C7516">
        <w:rPr>
          <w:rFonts w:ascii="Arial" w:hAnsi="Arial" w:cs="Arial"/>
          <w:color w:val="222222"/>
          <w:sz w:val="22"/>
          <w:szCs w:val="22"/>
        </w:rPr>
        <w:t xml:space="preserve">la </w:t>
      </w:r>
      <w:r w:rsidR="000216E1" w:rsidRPr="000C7516">
        <w:rPr>
          <w:rFonts w:ascii="Arial" w:hAnsi="Arial" w:cs="Arial"/>
          <w:color w:val="222222"/>
          <w:sz w:val="22"/>
          <w:szCs w:val="22"/>
        </w:rPr>
        <w:t xml:space="preserve">morphine ; </w:t>
      </w:r>
      <w:r w:rsidR="00FE66F6">
        <w:rPr>
          <w:rFonts w:ascii="Arial" w:hAnsi="Arial" w:cs="Arial"/>
          <w:sz w:val="22"/>
          <w:szCs w:val="22"/>
        </w:rPr>
        <w:t>e</w:t>
      </w:r>
      <w:r w:rsidR="004B4EBC" w:rsidRPr="000C7516">
        <w:rPr>
          <w:rFonts w:ascii="Arial" w:hAnsi="Arial" w:cs="Arial"/>
          <w:sz w:val="22"/>
          <w:szCs w:val="22"/>
        </w:rPr>
        <w:t xml:space="preserve">n termes de tolérance, la qualité des données a été jugée très faible. </w:t>
      </w:r>
    </w:p>
    <w:p w14:paraId="7CBF4FBC" w14:textId="4171ECA8" w:rsidR="004B4EBC" w:rsidRDefault="005F18E8" w:rsidP="008E1534">
      <w:pPr>
        <w:pStyle w:val="PrformatHTML"/>
        <w:jc w:val="both"/>
        <w:rPr>
          <w:rFonts w:ascii="Arial" w:hAnsi="Arial" w:cs="Arial"/>
          <w:color w:val="222222"/>
          <w:sz w:val="22"/>
          <w:szCs w:val="22"/>
        </w:rPr>
      </w:pPr>
      <w:r w:rsidRPr="00421F58">
        <w:rPr>
          <w:rFonts w:ascii="Arial" w:hAnsi="Arial" w:cs="Arial"/>
          <w:sz w:val="22"/>
          <w:szCs w:val="22"/>
        </w:rPr>
        <w:t>L</w:t>
      </w:r>
      <w:r w:rsidR="00ED3740" w:rsidRPr="00421F58">
        <w:rPr>
          <w:rFonts w:ascii="Arial" w:hAnsi="Arial" w:cs="Arial"/>
          <w:sz w:val="22"/>
          <w:szCs w:val="22"/>
        </w:rPr>
        <w:t>a fréquence d</w:t>
      </w:r>
      <w:r w:rsidR="00D275C6" w:rsidRPr="00421F58">
        <w:rPr>
          <w:rFonts w:ascii="Arial" w:hAnsi="Arial" w:cs="Arial"/>
          <w:sz w:val="22"/>
          <w:szCs w:val="22"/>
        </w:rPr>
        <w:t xml:space="preserve">es </w:t>
      </w:r>
      <w:r w:rsidRPr="00421F58">
        <w:rPr>
          <w:rFonts w:ascii="Arial" w:hAnsi="Arial" w:cs="Arial"/>
          <w:sz w:val="22"/>
          <w:szCs w:val="22"/>
        </w:rPr>
        <w:t xml:space="preserve">arrêts de traitement </w:t>
      </w:r>
      <w:r w:rsidR="004B4EBC" w:rsidRPr="00421F58">
        <w:rPr>
          <w:rFonts w:ascii="Arial" w:hAnsi="Arial" w:cs="Arial"/>
          <w:sz w:val="22"/>
          <w:szCs w:val="22"/>
        </w:rPr>
        <w:t>pour événements indésirables</w:t>
      </w:r>
      <w:r w:rsidR="00421F58" w:rsidRPr="00421F58">
        <w:rPr>
          <w:rFonts w:ascii="Arial" w:hAnsi="Arial" w:cs="Arial"/>
          <w:sz w:val="22"/>
          <w:szCs w:val="22"/>
        </w:rPr>
        <w:t xml:space="preserve"> </w:t>
      </w:r>
      <w:r w:rsidR="00421F58">
        <w:rPr>
          <w:rFonts w:ascii="Arial" w:hAnsi="Arial" w:cs="Arial"/>
          <w:sz w:val="22"/>
          <w:szCs w:val="22"/>
        </w:rPr>
        <w:t>avec la méthadone ont été</w:t>
      </w:r>
      <w:r w:rsidR="00D275C6" w:rsidRPr="00421F58">
        <w:rPr>
          <w:rFonts w:ascii="Arial" w:hAnsi="Arial" w:cs="Arial"/>
          <w:sz w:val="22"/>
          <w:szCs w:val="22"/>
        </w:rPr>
        <w:t xml:space="preserve"> rares (12/202) </w:t>
      </w:r>
      <w:r w:rsidR="00421F58" w:rsidRPr="00421F58">
        <w:rPr>
          <w:rFonts w:ascii="Arial" w:hAnsi="Arial" w:cs="Arial"/>
          <w:sz w:val="22"/>
          <w:szCs w:val="22"/>
        </w:rPr>
        <w:t xml:space="preserve">comme </w:t>
      </w:r>
      <w:r w:rsidR="00D275C6" w:rsidRPr="00421F58">
        <w:rPr>
          <w:rFonts w:ascii="Arial" w:hAnsi="Arial" w:cs="Arial"/>
          <w:sz w:val="22"/>
          <w:szCs w:val="22"/>
        </w:rPr>
        <w:t xml:space="preserve">dans les autres groupes. </w:t>
      </w:r>
      <w:r w:rsidR="00D275C6" w:rsidRPr="007F4750">
        <w:rPr>
          <w:rFonts w:ascii="Arial" w:hAnsi="Arial" w:cs="Arial"/>
          <w:color w:val="222222"/>
          <w:sz w:val="22"/>
          <w:szCs w:val="22"/>
        </w:rPr>
        <w:t xml:space="preserve">Les décès </w:t>
      </w:r>
      <w:r w:rsidR="00421F58">
        <w:rPr>
          <w:rFonts w:ascii="Arial" w:hAnsi="Arial" w:cs="Arial"/>
          <w:color w:val="222222"/>
          <w:sz w:val="22"/>
          <w:szCs w:val="22"/>
        </w:rPr>
        <w:t>ont été</w:t>
      </w:r>
      <w:r w:rsidR="00D275C6" w:rsidRPr="007F4750">
        <w:rPr>
          <w:rFonts w:ascii="Arial" w:hAnsi="Arial" w:cs="Arial"/>
          <w:color w:val="222222"/>
          <w:sz w:val="22"/>
          <w:szCs w:val="22"/>
        </w:rPr>
        <w:t xml:space="preserve"> </w:t>
      </w:r>
      <w:r w:rsidR="00ED3740">
        <w:rPr>
          <w:rFonts w:ascii="Arial" w:hAnsi="Arial" w:cs="Arial"/>
          <w:color w:val="222222"/>
          <w:sz w:val="22"/>
          <w:szCs w:val="22"/>
        </w:rPr>
        <w:t xml:space="preserve">également </w:t>
      </w:r>
      <w:r w:rsidR="00D275C6" w:rsidRPr="007F4750">
        <w:rPr>
          <w:rFonts w:ascii="Arial" w:hAnsi="Arial" w:cs="Arial"/>
          <w:color w:val="222222"/>
          <w:sz w:val="22"/>
          <w:szCs w:val="22"/>
        </w:rPr>
        <w:t>rares, sauf dans une étude</w:t>
      </w:r>
      <w:r w:rsidR="00184587" w:rsidRPr="007F4750">
        <w:rPr>
          <w:rFonts w:ascii="Arial" w:hAnsi="Arial" w:cs="Arial"/>
          <w:color w:val="222222"/>
          <w:sz w:val="22"/>
          <w:szCs w:val="22"/>
        </w:rPr>
        <w:t xml:space="preserve"> </w:t>
      </w:r>
      <w:r w:rsidR="00D275C6" w:rsidRPr="007F4750">
        <w:rPr>
          <w:rFonts w:ascii="Arial" w:hAnsi="Arial" w:cs="Arial"/>
          <w:color w:val="222222"/>
          <w:sz w:val="22"/>
          <w:szCs w:val="22"/>
        </w:rPr>
        <w:t>où la majorité des pa</w:t>
      </w:r>
      <w:r>
        <w:rPr>
          <w:rFonts w:ascii="Arial" w:hAnsi="Arial" w:cs="Arial"/>
          <w:color w:val="222222"/>
          <w:sz w:val="22"/>
          <w:szCs w:val="22"/>
        </w:rPr>
        <w:t xml:space="preserve">tients </w:t>
      </w:r>
      <w:r w:rsidR="00D275C6" w:rsidRPr="007F4750">
        <w:rPr>
          <w:rFonts w:ascii="Arial" w:hAnsi="Arial" w:cs="Arial"/>
          <w:color w:val="222222"/>
          <w:sz w:val="22"/>
          <w:szCs w:val="22"/>
        </w:rPr>
        <w:t xml:space="preserve">sont décédés, quel que soit le groupe de traitement. </w:t>
      </w:r>
      <w:r w:rsidR="000216E1">
        <w:rPr>
          <w:rFonts w:ascii="Arial" w:hAnsi="Arial" w:cs="Arial"/>
          <w:color w:val="222222"/>
          <w:sz w:val="22"/>
          <w:szCs w:val="22"/>
        </w:rPr>
        <w:t>Concernant les</w:t>
      </w:r>
      <w:r w:rsidR="00D275C6" w:rsidRPr="007F4750">
        <w:rPr>
          <w:rFonts w:ascii="Arial" w:hAnsi="Arial" w:cs="Arial"/>
          <w:color w:val="222222"/>
          <w:sz w:val="22"/>
          <w:szCs w:val="22"/>
        </w:rPr>
        <w:t xml:space="preserve"> événements indésirables spécifiques, la somnolence était plus fréquente</w:t>
      </w:r>
      <w:r w:rsidR="000216E1">
        <w:rPr>
          <w:rFonts w:ascii="Arial" w:hAnsi="Arial" w:cs="Arial"/>
          <w:color w:val="222222"/>
          <w:sz w:val="22"/>
          <w:szCs w:val="22"/>
        </w:rPr>
        <w:t xml:space="preserve"> sous </w:t>
      </w:r>
      <w:r w:rsidR="00D275C6" w:rsidRPr="007F4750">
        <w:rPr>
          <w:rFonts w:ascii="Arial" w:hAnsi="Arial" w:cs="Arial"/>
          <w:color w:val="222222"/>
          <w:sz w:val="22"/>
          <w:szCs w:val="22"/>
        </w:rPr>
        <w:t>méthadone qu</w:t>
      </w:r>
      <w:r w:rsidR="000216E1">
        <w:rPr>
          <w:rFonts w:ascii="Arial" w:hAnsi="Arial" w:cs="Arial"/>
          <w:color w:val="222222"/>
          <w:sz w:val="22"/>
          <w:szCs w:val="22"/>
        </w:rPr>
        <w:t xml:space="preserve">e sous </w:t>
      </w:r>
      <w:r w:rsidR="00D275C6" w:rsidRPr="007F4750">
        <w:rPr>
          <w:rFonts w:ascii="Arial" w:hAnsi="Arial" w:cs="Arial"/>
          <w:color w:val="222222"/>
          <w:sz w:val="22"/>
          <w:szCs w:val="22"/>
        </w:rPr>
        <w:t xml:space="preserve">morphine, la sécheresse </w:t>
      </w:r>
      <w:r w:rsidR="004B4EBC">
        <w:rPr>
          <w:rFonts w:ascii="Arial" w:hAnsi="Arial" w:cs="Arial"/>
          <w:color w:val="222222"/>
          <w:sz w:val="22"/>
          <w:szCs w:val="22"/>
        </w:rPr>
        <w:t>bucca</w:t>
      </w:r>
      <w:r w:rsidR="00FC3D36">
        <w:rPr>
          <w:rFonts w:ascii="Arial" w:hAnsi="Arial" w:cs="Arial"/>
          <w:color w:val="222222"/>
          <w:sz w:val="22"/>
          <w:szCs w:val="22"/>
        </w:rPr>
        <w:t>l</w:t>
      </w:r>
      <w:r w:rsidR="004B4EBC">
        <w:rPr>
          <w:rFonts w:ascii="Arial" w:hAnsi="Arial" w:cs="Arial"/>
          <w:color w:val="222222"/>
          <w:sz w:val="22"/>
          <w:szCs w:val="22"/>
        </w:rPr>
        <w:t>e</w:t>
      </w:r>
      <w:r w:rsidR="00D275C6" w:rsidRPr="007F4750">
        <w:rPr>
          <w:rFonts w:ascii="Arial" w:hAnsi="Arial" w:cs="Arial"/>
          <w:color w:val="222222"/>
          <w:sz w:val="22"/>
          <w:szCs w:val="22"/>
        </w:rPr>
        <w:t xml:space="preserve"> plus fréquente avec la morphine qu'avec la méthadone. Aucune des études</w:t>
      </w:r>
      <w:r w:rsidR="00184587" w:rsidRPr="007F4750">
        <w:rPr>
          <w:rFonts w:ascii="Arial" w:hAnsi="Arial" w:cs="Arial"/>
          <w:color w:val="222222"/>
          <w:sz w:val="22"/>
          <w:szCs w:val="22"/>
        </w:rPr>
        <w:t xml:space="preserve"> n’a rapporté d’effets sur l’</w:t>
      </w:r>
      <w:r w:rsidR="00D275C6" w:rsidRPr="007F4750">
        <w:rPr>
          <w:rFonts w:ascii="Arial" w:hAnsi="Arial" w:cs="Arial"/>
          <w:color w:val="222222"/>
          <w:sz w:val="22"/>
          <w:szCs w:val="22"/>
        </w:rPr>
        <w:t>appétit.</w:t>
      </w:r>
      <w:r w:rsidR="00897D84">
        <w:rPr>
          <w:rFonts w:ascii="Arial" w:hAnsi="Arial" w:cs="Arial"/>
          <w:color w:val="222222"/>
          <w:sz w:val="22"/>
          <w:szCs w:val="22"/>
        </w:rPr>
        <w:t xml:space="preserve"> </w:t>
      </w:r>
    </w:p>
    <w:p w14:paraId="5262DDED" w14:textId="77777777" w:rsidR="00D275C6" w:rsidRPr="007F4750" w:rsidRDefault="0074196B" w:rsidP="008E1534">
      <w:pPr>
        <w:pStyle w:val="PrformatHTML"/>
        <w:jc w:val="both"/>
        <w:rPr>
          <w:rFonts w:ascii="Arial" w:hAnsi="Arial" w:cs="Arial"/>
          <w:color w:val="222222"/>
          <w:sz w:val="22"/>
          <w:szCs w:val="22"/>
        </w:rPr>
      </w:pPr>
      <w:r>
        <w:rPr>
          <w:rFonts w:ascii="Arial" w:hAnsi="Arial" w:cs="Arial"/>
          <w:color w:val="222222"/>
          <w:sz w:val="22"/>
          <w:szCs w:val="22"/>
        </w:rPr>
        <w:t>L</w:t>
      </w:r>
      <w:r w:rsidR="00D275C6" w:rsidRPr="007F4750">
        <w:rPr>
          <w:rFonts w:ascii="Arial" w:hAnsi="Arial" w:cs="Arial"/>
          <w:color w:val="222222"/>
          <w:sz w:val="22"/>
          <w:szCs w:val="22"/>
        </w:rPr>
        <w:t xml:space="preserve">a qualité des preuves </w:t>
      </w:r>
      <w:r w:rsidR="000216E1">
        <w:rPr>
          <w:rFonts w:ascii="Arial" w:hAnsi="Arial" w:cs="Arial"/>
          <w:color w:val="222222"/>
          <w:sz w:val="22"/>
          <w:szCs w:val="22"/>
        </w:rPr>
        <w:t xml:space="preserve">a été jugée </w:t>
      </w:r>
      <w:r w:rsidR="00D275C6" w:rsidRPr="007F4750">
        <w:rPr>
          <w:rFonts w:ascii="Arial" w:hAnsi="Arial" w:cs="Arial"/>
          <w:color w:val="222222"/>
          <w:sz w:val="22"/>
          <w:szCs w:val="22"/>
        </w:rPr>
        <w:t xml:space="preserve">faible en raison </w:t>
      </w:r>
      <w:r w:rsidRPr="007F4750">
        <w:rPr>
          <w:rFonts w:ascii="Arial" w:hAnsi="Arial" w:cs="Arial"/>
          <w:color w:val="222222"/>
          <w:sz w:val="22"/>
          <w:szCs w:val="22"/>
        </w:rPr>
        <w:t xml:space="preserve">de </w:t>
      </w:r>
      <w:r>
        <w:rPr>
          <w:rFonts w:ascii="Arial" w:hAnsi="Arial" w:cs="Arial"/>
          <w:color w:val="222222"/>
          <w:sz w:val="22"/>
          <w:szCs w:val="22"/>
        </w:rPr>
        <w:t>l’insuffisance des données et des risques de biais</w:t>
      </w:r>
      <w:r w:rsidR="00D275C6" w:rsidRPr="007F4750">
        <w:rPr>
          <w:rFonts w:ascii="Arial" w:hAnsi="Arial" w:cs="Arial"/>
          <w:color w:val="222222"/>
          <w:sz w:val="22"/>
          <w:szCs w:val="22"/>
        </w:rPr>
        <w:t xml:space="preserve">. </w:t>
      </w:r>
    </w:p>
    <w:p w14:paraId="35E8A60A" w14:textId="77777777" w:rsidR="00D275C6" w:rsidRPr="007F4750" w:rsidRDefault="00D275C6" w:rsidP="008E1534">
      <w:pPr>
        <w:pStyle w:val="PrformatHTML"/>
        <w:jc w:val="both"/>
        <w:rPr>
          <w:rFonts w:ascii="Arial" w:hAnsi="Arial" w:cs="Arial"/>
          <w:color w:val="222222"/>
          <w:sz w:val="22"/>
          <w:szCs w:val="22"/>
        </w:rPr>
      </w:pPr>
      <w:r w:rsidRPr="007F4750">
        <w:rPr>
          <w:rFonts w:ascii="Arial" w:hAnsi="Arial" w:cs="Arial"/>
          <w:color w:val="222222"/>
          <w:sz w:val="22"/>
          <w:szCs w:val="22"/>
        </w:rPr>
        <w:t>Il n'y avait pas de données sur l'utilisation de la méthadone chez les enfants.</w:t>
      </w:r>
    </w:p>
    <w:p w14:paraId="39369869" w14:textId="17B507FA" w:rsidR="0024601F" w:rsidRDefault="00276E29" w:rsidP="008E1534">
      <w:pPr>
        <w:pStyle w:val="PrformatHTML"/>
        <w:jc w:val="both"/>
        <w:rPr>
          <w:rFonts w:ascii="Arial" w:hAnsi="Arial" w:cs="Arial"/>
          <w:color w:val="222222"/>
          <w:sz w:val="22"/>
          <w:szCs w:val="22"/>
        </w:rPr>
      </w:pPr>
      <w:r>
        <w:rPr>
          <w:rFonts w:ascii="Arial" w:hAnsi="Arial" w:cs="Arial"/>
          <w:color w:val="222222"/>
          <w:sz w:val="22"/>
          <w:szCs w:val="22"/>
        </w:rPr>
        <w:t xml:space="preserve">Les auteurs </w:t>
      </w:r>
      <w:r w:rsidR="00D347E0">
        <w:rPr>
          <w:rFonts w:ascii="Arial" w:hAnsi="Arial" w:cs="Arial"/>
          <w:color w:val="222222"/>
          <w:sz w:val="22"/>
          <w:szCs w:val="22"/>
        </w:rPr>
        <w:t xml:space="preserve">ont </w:t>
      </w:r>
      <w:r>
        <w:rPr>
          <w:rFonts w:ascii="Arial" w:hAnsi="Arial" w:cs="Arial"/>
          <w:color w:val="222222"/>
          <w:sz w:val="22"/>
          <w:szCs w:val="22"/>
        </w:rPr>
        <w:t>conclu</w:t>
      </w:r>
      <w:r w:rsidR="00D347E0">
        <w:rPr>
          <w:rFonts w:ascii="Arial" w:hAnsi="Arial" w:cs="Arial"/>
          <w:color w:val="222222"/>
          <w:sz w:val="22"/>
          <w:szCs w:val="22"/>
        </w:rPr>
        <w:t xml:space="preserve"> que</w:t>
      </w:r>
      <w:r>
        <w:rPr>
          <w:rFonts w:ascii="Arial" w:hAnsi="Arial" w:cs="Arial"/>
          <w:color w:val="222222"/>
          <w:sz w:val="22"/>
          <w:szCs w:val="22"/>
        </w:rPr>
        <w:t> </w:t>
      </w:r>
      <w:r w:rsidR="00D347E0">
        <w:rPr>
          <w:rFonts w:ascii="Arial" w:hAnsi="Arial" w:cs="Arial"/>
          <w:color w:val="222222"/>
          <w:sz w:val="22"/>
          <w:szCs w:val="22"/>
        </w:rPr>
        <w:t>s</w:t>
      </w:r>
      <w:r>
        <w:rPr>
          <w:rFonts w:ascii="Arial" w:hAnsi="Arial" w:cs="Arial"/>
          <w:color w:val="222222"/>
          <w:sz w:val="22"/>
          <w:szCs w:val="22"/>
        </w:rPr>
        <w:t>ur la base de</w:t>
      </w:r>
      <w:r w:rsidR="00D275C6" w:rsidRPr="007F4750">
        <w:rPr>
          <w:rFonts w:ascii="Arial" w:hAnsi="Arial" w:cs="Arial"/>
          <w:color w:val="222222"/>
          <w:sz w:val="22"/>
          <w:szCs w:val="22"/>
        </w:rPr>
        <w:t xml:space="preserve"> données de faible qualité, l</w:t>
      </w:r>
      <w:r w:rsidR="001B21DB" w:rsidRPr="007F4750">
        <w:rPr>
          <w:rFonts w:ascii="Arial" w:hAnsi="Arial" w:cs="Arial"/>
          <w:color w:val="222222"/>
          <w:sz w:val="22"/>
          <w:szCs w:val="22"/>
        </w:rPr>
        <w:t>es bén</w:t>
      </w:r>
      <w:r w:rsidR="002D0F65" w:rsidRPr="007F4750">
        <w:rPr>
          <w:rFonts w:ascii="Arial" w:hAnsi="Arial" w:cs="Arial"/>
          <w:color w:val="222222"/>
          <w:sz w:val="22"/>
          <w:szCs w:val="22"/>
        </w:rPr>
        <w:t>éfices analgésiques observés avec l</w:t>
      </w:r>
      <w:r w:rsidR="00D275C6" w:rsidRPr="007F4750">
        <w:rPr>
          <w:rFonts w:ascii="Arial" w:hAnsi="Arial" w:cs="Arial"/>
          <w:color w:val="222222"/>
          <w:sz w:val="22"/>
          <w:szCs w:val="22"/>
        </w:rPr>
        <w:t xml:space="preserve">a méthadone </w:t>
      </w:r>
      <w:r w:rsidR="002D0F65" w:rsidRPr="007F4750">
        <w:rPr>
          <w:rFonts w:ascii="Arial" w:hAnsi="Arial" w:cs="Arial"/>
          <w:color w:val="222222"/>
          <w:sz w:val="22"/>
          <w:szCs w:val="22"/>
        </w:rPr>
        <w:t>sont</w:t>
      </w:r>
      <w:r w:rsidR="00D275C6" w:rsidRPr="007F4750">
        <w:rPr>
          <w:rFonts w:ascii="Arial" w:hAnsi="Arial" w:cs="Arial"/>
          <w:color w:val="222222"/>
          <w:sz w:val="22"/>
          <w:szCs w:val="22"/>
        </w:rPr>
        <w:t xml:space="preserve"> </w:t>
      </w:r>
      <w:r w:rsidR="00D347E0">
        <w:rPr>
          <w:rFonts w:ascii="Arial" w:hAnsi="Arial" w:cs="Arial"/>
          <w:color w:val="222222"/>
          <w:sz w:val="22"/>
          <w:szCs w:val="22"/>
        </w:rPr>
        <w:t>semblables</w:t>
      </w:r>
      <w:r w:rsidR="00D275C6" w:rsidRPr="007F4750">
        <w:rPr>
          <w:rFonts w:ascii="Arial" w:hAnsi="Arial" w:cs="Arial"/>
          <w:color w:val="222222"/>
          <w:sz w:val="22"/>
          <w:szCs w:val="22"/>
        </w:rPr>
        <w:t xml:space="preserve"> à ceux </w:t>
      </w:r>
      <w:r w:rsidR="002D0F65" w:rsidRPr="007F4750">
        <w:rPr>
          <w:rFonts w:ascii="Arial" w:hAnsi="Arial" w:cs="Arial"/>
          <w:color w:val="222222"/>
          <w:sz w:val="22"/>
          <w:szCs w:val="22"/>
        </w:rPr>
        <w:t>ap</w:t>
      </w:r>
      <w:r w:rsidR="001B21DB" w:rsidRPr="007F4750">
        <w:rPr>
          <w:rFonts w:ascii="Arial" w:hAnsi="Arial" w:cs="Arial"/>
          <w:color w:val="222222"/>
          <w:sz w:val="22"/>
          <w:szCs w:val="22"/>
        </w:rPr>
        <w:t>p</w:t>
      </w:r>
      <w:r w:rsidR="002D0F65" w:rsidRPr="007F4750">
        <w:rPr>
          <w:rFonts w:ascii="Arial" w:hAnsi="Arial" w:cs="Arial"/>
          <w:color w:val="222222"/>
          <w:sz w:val="22"/>
          <w:szCs w:val="22"/>
        </w:rPr>
        <w:t xml:space="preserve">ortés </w:t>
      </w:r>
      <w:r w:rsidR="00D347E0">
        <w:rPr>
          <w:rFonts w:ascii="Arial" w:hAnsi="Arial" w:cs="Arial"/>
          <w:color w:val="222222"/>
          <w:sz w:val="22"/>
          <w:szCs w:val="22"/>
        </w:rPr>
        <w:t>par</w:t>
      </w:r>
      <w:r w:rsidR="002D0F65" w:rsidRPr="007F4750">
        <w:rPr>
          <w:rFonts w:ascii="Arial" w:hAnsi="Arial" w:cs="Arial"/>
          <w:color w:val="222222"/>
          <w:sz w:val="22"/>
          <w:szCs w:val="22"/>
        </w:rPr>
        <w:t xml:space="preserve"> </w:t>
      </w:r>
      <w:r w:rsidR="00D275C6" w:rsidRPr="007F4750">
        <w:rPr>
          <w:rFonts w:ascii="Arial" w:hAnsi="Arial" w:cs="Arial"/>
          <w:color w:val="222222"/>
          <w:sz w:val="22"/>
          <w:szCs w:val="22"/>
        </w:rPr>
        <w:t>la morphine</w:t>
      </w:r>
      <w:r w:rsidR="008A0AF6" w:rsidRPr="007F4750">
        <w:rPr>
          <w:rFonts w:ascii="Arial" w:hAnsi="Arial" w:cs="Arial"/>
          <w:color w:val="222222"/>
          <w:sz w:val="22"/>
          <w:szCs w:val="22"/>
        </w:rPr>
        <w:t>. L</w:t>
      </w:r>
      <w:r w:rsidR="001B21DB" w:rsidRPr="007F4750">
        <w:rPr>
          <w:rFonts w:ascii="Arial" w:hAnsi="Arial" w:cs="Arial"/>
          <w:color w:val="222222"/>
          <w:sz w:val="22"/>
          <w:szCs w:val="22"/>
        </w:rPr>
        <w:t xml:space="preserve">e médicament peut </w:t>
      </w:r>
      <w:r w:rsidR="00D275C6" w:rsidRPr="007F4750">
        <w:rPr>
          <w:rFonts w:ascii="Arial" w:hAnsi="Arial" w:cs="Arial"/>
          <w:color w:val="222222"/>
          <w:sz w:val="22"/>
          <w:szCs w:val="22"/>
        </w:rPr>
        <w:t>joue</w:t>
      </w:r>
      <w:r w:rsidR="001B21DB" w:rsidRPr="007F4750">
        <w:rPr>
          <w:rFonts w:ascii="Arial" w:hAnsi="Arial" w:cs="Arial"/>
          <w:color w:val="222222"/>
          <w:sz w:val="22"/>
          <w:szCs w:val="22"/>
        </w:rPr>
        <w:t>r</w:t>
      </w:r>
      <w:r w:rsidR="00D275C6" w:rsidRPr="007F4750">
        <w:rPr>
          <w:rFonts w:ascii="Arial" w:hAnsi="Arial" w:cs="Arial"/>
          <w:color w:val="222222"/>
          <w:sz w:val="22"/>
          <w:szCs w:val="22"/>
        </w:rPr>
        <w:t xml:space="preserve"> un rôle dans la </w:t>
      </w:r>
      <w:r w:rsidR="001B21DB" w:rsidRPr="007F4750">
        <w:rPr>
          <w:rFonts w:ascii="Arial" w:hAnsi="Arial" w:cs="Arial"/>
          <w:color w:val="222222"/>
          <w:sz w:val="22"/>
          <w:szCs w:val="22"/>
        </w:rPr>
        <w:t>prise en charge des patients adultes ayant des</w:t>
      </w:r>
      <w:r w:rsidR="00D275C6" w:rsidRPr="007F4750">
        <w:rPr>
          <w:rFonts w:ascii="Arial" w:hAnsi="Arial" w:cs="Arial"/>
          <w:color w:val="222222"/>
          <w:sz w:val="22"/>
          <w:szCs w:val="22"/>
        </w:rPr>
        <w:t xml:space="preserve"> douleur</w:t>
      </w:r>
      <w:r w:rsidR="001B21DB" w:rsidRPr="007F4750">
        <w:rPr>
          <w:rFonts w:ascii="Arial" w:hAnsi="Arial" w:cs="Arial"/>
          <w:color w:val="222222"/>
          <w:sz w:val="22"/>
          <w:szCs w:val="22"/>
        </w:rPr>
        <w:t>s d’origine cancéreuse ; l</w:t>
      </w:r>
      <w:r w:rsidR="000C6B5B" w:rsidRPr="007F4750">
        <w:rPr>
          <w:rFonts w:ascii="Arial" w:hAnsi="Arial" w:cs="Arial"/>
          <w:color w:val="222222"/>
          <w:sz w:val="22"/>
          <w:szCs w:val="22"/>
        </w:rPr>
        <w:t>a prise en charge des patients à l’aide d’opioïdes</w:t>
      </w:r>
      <w:r w:rsidR="00D275C6" w:rsidRPr="007F4750">
        <w:rPr>
          <w:rFonts w:ascii="Arial" w:hAnsi="Arial" w:cs="Arial"/>
          <w:color w:val="222222"/>
          <w:sz w:val="22"/>
          <w:szCs w:val="22"/>
        </w:rPr>
        <w:t xml:space="preserve"> tels que la morphine et le fent</w:t>
      </w:r>
      <w:r w:rsidR="000C6B5B" w:rsidRPr="007F4750">
        <w:rPr>
          <w:rFonts w:ascii="Arial" w:hAnsi="Arial" w:cs="Arial"/>
          <w:color w:val="222222"/>
          <w:sz w:val="22"/>
          <w:szCs w:val="22"/>
        </w:rPr>
        <w:t>anyl</w:t>
      </w:r>
      <w:r w:rsidR="00B75C0B" w:rsidRPr="007F4750">
        <w:rPr>
          <w:rFonts w:ascii="Arial" w:hAnsi="Arial" w:cs="Arial"/>
          <w:color w:val="222222"/>
          <w:sz w:val="22"/>
          <w:szCs w:val="22"/>
        </w:rPr>
        <w:t xml:space="preserve"> </w:t>
      </w:r>
      <w:r w:rsidR="000C6B5B" w:rsidRPr="007F4750">
        <w:rPr>
          <w:rFonts w:ascii="Arial" w:hAnsi="Arial" w:cs="Arial"/>
          <w:color w:val="222222"/>
          <w:sz w:val="22"/>
          <w:szCs w:val="22"/>
        </w:rPr>
        <w:t xml:space="preserve">est </w:t>
      </w:r>
      <w:r w:rsidR="001B21DB" w:rsidRPr="007F4750">
        <w:rPr>
          <w:rFonts w:ascii="Arial" w:hAnsi="Arial" w:cs="Arial"/>
          <w:color w:val="222222"/>
          <w:sz w:val="22"/>
          <w:szCs w:val="22"/>
        </w:rPr>
        <w:t xml:space="preserve">cependant </w:t>
      </w:r>
      <w:r w:rsidR="000C6B5B" w:rsidRPr="007F4750">
        <w:rPr>
          <w:rFonts w:ascii="Arial" w:hAnsi="Arial" w:cs="Arial"/>
          <w:color w:val="222222"/>
          <w:sz w:val="22"/>
          <w:szCs w:val="22"/>
        </w:rPr>
        <w:t>plus aisée.</w:t>
      </w:r>
    </w:p>
    <w:p w14:paraId="2C8DC5DC" w14:textId="77777777" w:rsidR="00570CBB" w:rsidRDefault="00570CBB" w:rsidP="008E1534">
      <w:pPr>
        <w:pStyle w:val="PrformatHTML"/>
        <w:jc w:val="both"/>
      </w:pPr>
    </w:p>
    <w:p w14:paraId="44E51035" w14:textId="77777777" w:rsidR="00B46C70" w:rsidRDefault="00B46C70" w:rsidP="00397AE6">
      <w:pPr>
        <w:pStyle w:val="Titre2"/>
      </w:pPr>
      <w:bookmarkStart w:id="14" w:name="_Toc5285419"/>
      <w:r>
        <w:t>Qualité de vie</w:t>
      </w:r>
    </w:p>
    <w:p w14:paraId="7EECD7D5" w14:textId="77777777" w:rsidR="00352A33" w:rsidRDefault="00352A33" w:rsidP="00B46C70">
      <w:pPr>
        <w:rPr>
          <w:rFonts w:cs="Arial"/>
          <w:bCs/>
          <w:szCs w:val="22"/>
        </w:rPr>
      </w:pPr>
      <w:r>
        <w:rPr>
          <w:rFonts w:cs="Arial"/>
          <w:bCs/>
          <w:szCs w:val="22"/>
        </w:rPr>
        <w:t>Sans objet.</w:t>
      </w:r>
    </w:p>
    <w:p w14:paraId="2CE553D5" w14:textId="77777777" w:rsidR="004A1EB3" w:rsidRPr="00B46C70" w:rsidRDefault="004A1EB3" w:rsidP="00B46C70"/>
    <w:p w14:paraId="0BC07DB7" w14:textId="77777777" w:rsidR="00EA50C2" w:rsidRDefault="00EA50C2">
      <w:pPr>
        <w:jc w:val="left"/>
        <w:rPr>
          <w:b/>
          <w:color w:val="808080"/>
          <w:sz w:val="28"/>
        </w:rPr>
      </w:pPr>
      <w:r>
        <w:br w:type="page"/>
      </w:r>
    </w:p>
    <w:p w14:paraId="74CDD403" w14:textId="4873563F" w:rsidR="00537F80" w:rsidRDefault="00537F80" w:rsidP="00397AE6">
      <w:pPr>
        <w:pStyle w:val="Titre2"/>
      </w:pPr>
      <w:r w:rsidRPr="00537F80">
        <w:t>Tolérance</w:t>
      </w:r>
      <w:bookmarkEnd w:id="14"/>
      <w:r w:rsidRPr="00537F80">
        <w:t xml:space="preserve"> </w:t>
      </w:r>
    </w:p>
    <w:p w14:paraId="174B7BCA" w14:textId="77777777" w:rsidR="00397AE6" w:rsidRDefault="00397AE6" w:rsidP="00397AE6">
      <w:pPr>
        <w:pStyle w:val="Titre3"/>
      </w:pPr>
      <w:r>
        <w:t>Données issues de l’étude clinique</w:t>
      </w:r>
    </w:p>
    <w:p w14:paraId="23F27EDA" w14:textId="77777777" w:rsidR="00C76A2A" w:rsidRDefault="00397AE6" w:rsidP="00397AE6">
      <w:pPr>
        <w:rPr>
          <w:rFonts w:cs="Arial"/>
          <w:szCs w:val="22"/>
        </w:rPr>
      </w:pPr>
      <w:r w:rsidRPr="00B46C70">
        <w:rPr>
          <w:rFonts w:cs="Arial"/>
          <w:szCs w:val="22"/>
        </w:rPr>
        <w:t xml:space="preserve">Dans l’étude </w:t>
      </w:r>
      <w:r w:rsidRPr="00B46C70">
        <w:rPr>
          <w:rFonts w:cs="Arial"/>
          <w:bCs/>
          <w:szCs w:val="22"/>
        </w:rPr>
        <w:t>EQUIMETH2</w:t>
      </w:r>
      <w:r w:rsidRPr="00B46C70">
        <w:rPr>
          <w:rFonts w:cs="Arial"/>
          <w:szCs w:val="22"/>
        </w:rPr>
        <w:t xml:space="preserve">, la durée médiane d’exposition à la méthadone a été de 35 jours (1-59). </w:t>
      </w:r>
    </w:p>
    <w:p w14:paraId="3FDC34BF" w14:textId="77777777" w:rsidR="00C76A2A" w:rsidRDefault="00C76A2A" w:rsidP="00397AE6">
      <w:pPr>
        <w:rPr>
          <w:rFonts w:cs="Arial"/>
          <w:szCs w:val="22"/>
        </w:rPr>
      </w:pPr>
    </w:p>
    <w:p w14:paraId="21E3F74C" w14:textId="73F7DB5E" w:rsidR="00990A4E" w:rsidRDefault="00397AE6" w:rsidP="00397AE6">
      <w:pPr>
        <w:rPr>
          <w:rFonts w:cs="Arial"/>
          <w:szCs w:val="22"/>
        </w:rPr>
      </w:pPr>
      <w:r w:rsidRPr="00B46C70">
        <w:rPr>
          <w:rFonts w:cs="Arial"/>
          <w:szCs w:val="22"/>
        </w:rPr>
        <w:t>Au total, 98% des patients ont eu au moins un événement indésirable (EI)</w:t>
      </w:r>
      <w:r w:rsidR="00562449">
        <w:rPr>
          <w:rFonts w:cs="Arial"/>
          <w:szCs w:val="22"/>
        </w:rPr>
        <w:t> ;</w:t>
      </w:r>
      <w:r w:rsidRPr="00B46C70">
        <w:rPr>
          <w:rFonts w:cs="Arial"/>
          <w:szCs w:val="22"/>
        </w:rPr>
        <w:t xml:space="preserve"> 84% d’entre eux ont eu des EI </w:t>
      </w:r>
      <w:r w:rsidR="00562449">
        <w:rPr>
          <w:rFonts w:cs="Arial"/>
          <w:szCs w:val="22"/>
        </w:rPr>
        <w:t>re</w:t>
      </w:r>
      <w:r w:rsidRPr="00B46C70">
        <w:rPr>
          <w:rFonts w:cs="Arial"/>
          <w:szCs w:val="22"/>
        </w:rPr>
        <w:t xml:space="preserve">liés au traitement. </w:t>
      </w:r>
      <w:r w:rsidR="0043634C">
        <w:rPr>
          <w:rFonts w:cs="Arial"/>
          <w:szCs w:val="22"/>
        </w:rPr>
        <w:t>Des</w:t>
      </w:r>
      <w:r w:rsidR="00920515">
        <w:rPr>
          <w:rFonts w:cs="Arial"/>
          <w:szCs w:val="22"/>
        </w:rPr>
        <w:t xml:space="preserve"> </w:t>
      </w:r>
      <w:r w:rsidR="00C76A2A">
        <w:rPr>
          <w:rFonts w:cs="Arial"/>
          <w:szCs w:val="22"/>
        </w:rPr>
        <w:t>EI graves </w:t>
      </w:r>
      <w:r w:rsidR="00857147">
        <w:rPr>
          <w:rFonts w:cs="Arial"/>
          <w:szCs w:val="22"/>
        </w:rPr>
        <w:t xml:space="preserve">ont été rapportés </w:t>
      </w:r>
      <w:r w:rsidR="0043634C">
        <w:rPr>
          <w:rFonts w:cs="Arial"/>
          <w:szCs w:val="22"/>
        </w:rPr>
        <w:t xml:space="preserve">chez 58% des patients, </w:t>
      </w:r>
      <w:r w:rsidR="00920515">
        <w:rPr>
          <w:rFonts w:cs="Arial"/>
          <w:szCs w:val="22"/>
        </w:rPr>
        <w:t>reliés au t</w:t>
      </w:r>
      <w:r w:rsidR="00857147">
        <w:rPr>
          <w:rFonts w:cs="Arial"/>
          <w:szCs w:val="22"/>
        </w:rPr>
        <w:t>raitement</w:t>
      </w:r>
      <w:r w:rsidR="00920515">
        <w:rPr>
          <w:rFonts w:cs="Arial"/>
          <w:szCs w:val="22"/>
        </w:rPr>
        <w:t xml:space="preserve"> dans </w:t>
      </w:r>
      <w:r w:rsidR="00C76A2A">
        <w:rPr>
          <w:rFonts w:cs="Arial"/>
          <w:szCs w:val="22"/>
        </w:rPr>
        <w:t>25,4</w:t>
      </w:r>
      <w:r w:rsidR="00857147">
        <w:rPr>
          <w:rFonts w:cs="Arial"/>
          <w:szCs w:val="22"/>
        </w:rPr>
        <w:t>%</w:t>
      </w:r>
      <w:r w:rsidR="00C76A2A">
        <w:rPr>
          <w:rFonts w:cs="Arial"/>
          <w:szCs w:val="22"/>
        </w:rPr>
        <w:t xml:space="preserve"> </w:t>
      </w:r>
      <w:r w:rsidR="00920515">
        <w:rPr>
          <w:rFonts w:cs="Arial"/>
          <w:szCs w:val="22"/>
        </w:rPr>
        <w:t xml:space="preserve">(groupe A) </w:t>
      </w:r>
      <w:r w:rsidR="00C76A2A">
        <w:rPr>
          <w:rFonts w:cs="Arial"/>
          <w:szCs w:val="22"/>
        </w:rPr>
        <w:t>et 32,9</w:t>
      </w:r>
      <w:r w:rsidR="00857147">
        <w:rPr>
          <w:rFonts w:cs="Arial"/>
          <w:szCs w:val="22"/>
        </w:rPr>
        <w:t>%</w:t>
      </w:r>
      <w:r w:rsidR="00920515">
        <w:rPr>
          <w:rFonts w:cs="Arial"/>
          <w:szCs w:val="22"/>
        </w:rPr>
        <w:t xml:space="preserve"> (groupe B)</w:t>
      </w:r>
      <w:r w:rsidR="00857147">
        <w:rPr>
          <w:rFonts w:cs="Arial"/>
          <w:szCs w:val="22"/>
        </w:rPr>
        <w:t xml:space="preserve"> des cas.</w:t>
      </w:r>
    </w:p>
    <w:p w14:paraId="2E6B4270" w14:textId="77777777" w:rsidR="00857147" w:rsidRDefault="00397AE6" w:rsidP="00397AE6">
      <w:pPr>
        <w:rPr>
          <w:rFonts w:cs="Arial"/>
          <w:szCs w:val="22"/>
        </w:rPr>
      </w:pPr>
      <w:r w:rsidRPr="00B46C70">
        <w:rPr>
          <w:rFonts w:cs="Arial"/>
          <w:szCs w:val="22"/>
        </w:rPr>
        <w:t>L</w:t>
      </w:r>
      <w:r w:rsidR="00562449">
        <w:rPr>
          <w:rFonts w:cs="Arial"/>
          <w:szCs w:val="22"/>
        </w:rPr>
        <w:t>e pourcentage</w:t>
      </w:r>
      <w:r w:rsidRPr="00B46C70">
        <w:rPr>
          <w:rFonts w:cs="Arial"/>
          <w:szCs w:val="22"/>
        </w:rPr>
        <w:t xml:space="preserve"> d’arrêts de traitement pour EI a été de </w:t>
      </w:r>
      <w:r w:rsidR="00C76A2A">
        <w:rPr>
          <w:rFonts w:cs="Arial"/>
          <w:szCs w:val="22"/>
        </w:rPr>
        <w:t xml:space="preserve">de </w:t>
      </w:r>
      <w:r w:rsidR="00920515">
        <w:rPr>
          <w:rFonts w:cs="Arial"/>
          <w:szCs w:val="22"/>
        </w:rPr>
        <w:t xml:space="preserve">26,8 et 37%. </w:t>
      </w:r>
      <w:r w:rsidR="00857147">
        <w:rPr>
          <w:rFonts w:cs="Arial"/>
          <w:szCs w:val="22"/>
        </w:rPr>
        <w:t>Les EI reliés au traitement ont entraîné l’arrêt dans</w:t>
      </w:r>
      <w:r w:rsidR="00920515">
        <w:rPr>
          <w:rFonts w:cs="Arial"/>
          <w:szCs w:val="22"/>
        </w:rPr>
        <w:t xml:space="preserve"> </w:t>
      </w:r>
      <w:r w:rsidR="00C76A2A" w:rsidRPr="00B46C70">
        <w:rPr>
          <w:rFonts w:cs="Arial"/>
          <w:szCs w:val="22"/>
        </w:rPr>
        <w:t xml:space="preserve">5,6% </w:t>
      </w:r>
      <w:r w:rsidR="00857147">
        <w:rPr>
          <w:rFonts w:cs="Arial"/>
          <w:szCs w:val="22"/>
        </w:rPr>
        <w:t>(</w:t>
      </w:r>
      <w:r w:rsidR="00C76A2A" w:rsidRPr="00B46C70">
        <w:rPr>
          <w:rFonts w:cs="Arial"/>
          <w:szCs w:val="22"/>
        </w:rPr>
        <w:t xml:space="preserve">groupe </w:t>
      </w:r>
      <w:r w:rsidR="00C76A2A">
        <w:rPr>
          <w:rFonts w:cs="Arial"/>
          <w:szCs w:val="22"/>
        </w:rPr>
        <w:t>A</w:t>
      </w:r>
      <w:r w:rsidR="00857147">
        <w:rPr>
          <w:rFonts w:cs="Arial"/>
          <w:szCs w:val="22"/>
        </w:rPr>
        <w:t>)</w:t>
      </w:r>
      <w:r w:rsidR="00C76A2A">
        <w:rPr>
          <w:rFonts w:cs="Arial"/>
          <w:szCs w:val="22"/>
        </w:rPr>
        <w:t xml:space="preserve"> et </w:t>
      </w:r>
      <w:r w:rsidRPr="00B46C70">
        <w:rPr>
          <w:rFonts w:cs="Arial"/>
          <w:szCs w:val="22"/>
        </w:rPr>
        <w:t xml:space="preserve">13,7% </w:t>
      </w:r>
      <w:r w:rsidR="00857147">
        <w:rPr>
          <w:rFonts w:cs="Arial"/>
          <w:szCs w:val="22"/>
        </w:rPr>
        <w:t>(</w:t>
      </w:r>
      <w:r w:rsidRPr="00B46C70">
        <w:rPr>
          <w:rFonts w:cs="Arial"/>
          <w:szCs w:val="22"/>
        </w:rPr>
        <w:t xml:space="preserve">groupe </w:t>
      </w:r>
      <w:r w:rsidR="00C76A2A">
        <w:rPr>
          <w:rFonts w:cs="Arial"/>
          <w:szCs w:val="22"/>
        </w:rPr>
        <w:t>B</w:t>
      </w:r>
      <w:r w:rsidR="00857147">
        <w:rPr>
          <w:rFonts w:cs="Arial"/>
          <w:szCs w:val="22"/>
        </w:rPr>
        <w:t>)</w:t>
      </w:r>
      <w:r w:rsidR="00990A4E">
        <w:rPr>
          <w:rFonts w:cs="Arial"/>
          <w:szCs w:val="22"/>
        </w:rPr>
        <w:t> </w:t>
      </w:r>
      <w:r w:rsidR="00857147">
        <w:rPr>
          <w:rFonts w:cs="Arial"/>
          <w:szCs w:val="22"/>
        </w:rPr>
        <w:t>des cas.</w:t>
      </w:r>
    </w:p>
    <w:p w14:paraId="602B079B" w14:textId="29E426DC" w:rsidR="00BD61E6" w:rsidRPr="00053040" w:rsidRDefault="00857147" w:rsidP="00BD61E6">
      <w:pPr>
        <w:rPr>
          <w:rFonts w:cs="Arial"/>
          <w:color w:val="00B050"/>
          <w:sz w:val="20"/>
        </w:rPr>
      </w:pPr>
      <w:r>
        <w:rPr>
          <w:rFonts w:cs="Arial"/>
          <w:szCs w:val="22"/>
        </w:rPr>
        <w:t>L</w:t>
      </w:r>
      <w:r w:rsidR="00990A4E" w:rsidRPr="00B46C70">
        <w:rPr>
          <w:rFonts w:cs="Arial"/>
          <w:szCs w:val="22"/>
        </w:rPr>
        <w:t>e surdosage</w:t>
      </w:r>
      <w:r w:rsidR="00990A4E">
        <w:rPr>
          <w:rFonts w:cs="Arial"/>
          <w:szCs w:val="22"/>
        </w:rPr>
        <w:t xml:space="preserve"> a été l</w:t>
      </w:r>
      <w:r w:rsidR="00397AE6" w:rsidRPr="00B46C70">
        <w:rPr>
          <w:rFonts w:cs="Arial"/>
          <w:szCs w:val="22"/>
        </w:rPr>
        <w:t xml:space="preserve">a raison la plus fréquente d’arrêt </w:t>
      </w:r>
      <w:r>
        <w:rPr>
          <w:rFonts w:cs="Arial"/>
          <w:szCs w:val="22"/>
        </w:rPr>
        <w:t>de traitement.</w:t>
      </w:r>
      <w:r w:rsidR="00397AE6" w:rsidRPr="00B46C70">
        <w:rPr>
          <w:rFonts w:cs="Arial"/>
          <w:szCs w:val="22"/>
        </w:rPr>
        <w:t xml:space="preserve"> </w:t>
      </w:r>
      <w:r w:rsidR="00990A4E">
        <w:rPr>
          <w:rFonts w:cs="Arial"/>
          <w:szCs w:val="22"/>
        </w:rPr>
        <w:t>Au total, 19</w:t>
      </w:r>
      <w:r w:rsidR="00990A4E" w:rsidRPr="00C66086">
        <w:rPr>
          <w:rFonts w:cs="Arial"/>
          <w:szCs w:val="22"/>
        </w:rPr>
        <w:t xml:space="preserve"> cas de surdosage ont été rapportés</w:t>
      </w:r>
      <w:r w:rsidR="0043634C">
        <w:rPr>
          <w:rFonts w:cs="Arial"/>
          <w:szCs w:val="22"/>
        </w:rPr>
        <w:t> :</w:t>
      </w:r>
      <w:r w:rsidR="00990A4E" w:rsidRPr="00C66086">
        <w:rPr>
          <w:rFonts w:cs="Arial"/>
          <w:szCs w:val="22"/>
        </w:rPr>
        <w:t xml:space="preserve"> </w:t>
      </w:r>
      <w:r w:rsidR="00920515">
        <w:rPr>
          <w:rFonts w:cs="Arial"/>
          <w:szCs w:val="22"/>
        </w:rPr>
        <w:t xml:space="preserve">10 </w:t>
      </w:r>
      <w:r w:rsidR="0043634C">
        <w:rPr>
          <w:rFonts w:cs="Arial"/>
          <w:szCs w:val="22"/>
        </w:rPr>
        <w:t>dans le groupe A (</w:t>
      </w:r>
      <w:r w:rsidR="00920515">
        <w:rPr>
          <w:rFonts w:cs="Arial"/>
          <w:szCs w:val="22"/>
        </w:rPr>
        <w:t>14%</w:t>
      </w:r>
      <w:r w:rsidR="0043634C">
        <w:rPr>
          <w:rFonts w:cs="Arial"/>
          <w:szCs w:val="22"/>
        </w:rPr>
        <w:t>)</w:t>
      </w:r>
      <w:r w:rsidR="00920515">
        <w:rPr>
          <w:rFonts w:cs="Arial"/>
          <w:szCs w:val="22"/>
        </w:rPr>
        <w:t xml:space="preserve"> et 9 </w:t>
      </w:r>
      <w:r w:rsidR="0043634C">
        <w:rPr>
          <w:rFonts w:cs="Arial"/>
          <w:szCs w:val="22"/>
        </w:rPr>
        <w:t>dans le groupe B (</w:t>
      </w:r>
      <w:r w:rsidR="00920515">
        <w:rPr>
          <w:rFonts w:cs="Arial"/>
          <w:szCs w:val="22"/>
        </w:rPr>
        <w:t>12%)</w:t>
      </w:r>
      <w:r w:rsidR="0043634C">
        <w:rPr>
          <w:rFonts w:cs="Arial"/>
          <w:szCs w:val="22"/>
        </w:rPr>
        <w:t xml:space="preserve">, dans les </w:t>
      </w:r>
      <w:r w:rsidR="00FE66F6">
        <w:rPr>
          <w:rFonts w:cs="Arial"/>
          <w:szCs w:val="22"/>
        </w:rPr>
        <w:t>quatre</w:t>
      </w:r>
      <w:r w:rsidR="0043634C">
        <w:rPr>
          <w:rFonts w:cs="Arial"/>
          <w:szCs w:val="22"/>
        </w:rPr>
        <w:t xml:space="preserve"> premiers jours dans 11 cas. Seize surdosages ont été qualifiés de </w:t>
      </w:r>
      <w:r w:rsidR="00990A4E" w:rsidRPr="00C66086">
        <w:rPr>
          <w:rFonts w:cs="Arial"/>
          <w:szCs w:val="22"/>
        </w:rPr>
        <w:t>graves</w:t>
      </w:r>
      <w:r w:rsidR="0043634C">
        <w:rPr>
          <w:rFonts w:cs="Arial"/>
          <w:szCs w:val="22"/>
        </w:rPr>
        <w:t> </w:t>
      </w:r>
      <w:r w:rsidR="0043634C" w:rsidRPr="00C66086">
        <w:rPr>
          <w:rFonts w:cs="Arial"/>
          <w:szCs w:val="22"/>
        </w:rPr>
        <w:t xml:space="preserve">et </w:t>
      </w:r>
      <w:r w:rsidR="0043634C">
        <w:rPr>
          <w:rFonts w:cs="Arial"/>
          <w:szCs w:val="22"/>
        </w:rPr>
        <w:t>re</w:t>
      </w:r>
      <w:r w:rsidR="0043634C" w:rsidRPr="00C66086">
        <w:rPr>
          <w:rFonts w:cs="Arial"/>
          <w:szCs w:val="22"/>
        </w:rPr>
        <w:t>liés au traitement </w:t>
      </w:r>
      <w:r w:rsidR="0043634C">
        <w:rPr>
          <w:rFonts w:cs="Arial"/>
          <w:szCs w:val="22"/>
        </w:rPr>
        <w:t>dans 8 cas ; la naloxone a été administrée chez 9 patients : 5 (</w:t>
      </w:r>
      <w:r w:rsidR="0043634C" w:rsidRPr="00857147">
        <w:rPr>
          <w:rFonts w:cs="Arial"/>
          <w:szCs w:val="22"/>
        </w:rPr>
        <w:t>groupe A</w:t>
      </w:r>
      <w:r w:rsidR="0043634C">
        <w:rPr>
          <w:rFonts w:cs="Arial"/>
          <w:szCs w:val="22"/>
        </w:rPr>
        <w:t>) et 4 (</w:t>
      </w:r>
      <w:r w:rsidR="0043634C" w:rsidRPr="00C66086">
        <w:rPr>
          <w:rFonts w:cs="Arial"/>
          <w:szCs w:val="22"/>
        </w:rPr>
        <w:t xml:space="preserve">groupe </w:t>
      </w:r>
      <w:r w:rsidR="0043634C">
        <w:rPr>
          <w:rFonts w:cs="Arial"/>
          <w:szCs w:val="22"/>
        </w:rPr>
        <w:t>B). Ces surdosages ont entraîné</w:t>
      </w:r>
      <w:r w:rsidR="00920515">
        <w:rPr>
          <w:rFonts w:cs="Arial"/>
          <w:szCs w:val="22"/>
        </w:rPr>
        <w:t xml:space="preserve"> l’arrêt de la</w:t>
      </w:r>
      <w:r w:rsidR="00990A4E" w:rsidRPr="00C66086">
        <w:rPr>
          <w:rFonts w:cs="Arial"/>
          <w:szCs w:val="22"/>
        </w:rPr>
        <w:t xml:space="preserve"> méthadone dans </w:t>
      </w:r>
      <w:r w:rsidR="00920515">
        <w:rPr>
          <w:rFonts w:cs="Arial"/>
          <w:szCs w:val="22"/>
        </w:rPr>
        <w:t>9</w:t>
      </w:r>
      <w:r w:rsidR="00990A4E" w:rsidRPr="00C66086">
        <w:rPr>
          <w:rFonts w:cs="Arial"/>
          <w:szCs w:val="22"/>
        </w:rPr>
        <w:t xml:space="preserve"> cas</w:t>
      </w:r>
      <w:r w:rsidR="00990A4E">
        <w:rPr>
          <w:rFonts w:cs="Arial"/>
          <w:szCs w:val="22"/>
        </w:rPr>
        <w:t xml:space="preserve"> : </w:t>
      </w:r>
      <w:r>
        <w:rPr>
          <w:rFonts w:cs="Arial"/>
          <w:szCs w:val="22"/>
        </w:rPr>
        <w:t>3</w:t>
      </w:r>
      <w:r w:rsidR="00990A4E" w:rsidRPr="00C66086">
        <w:rPr>
          <w:rFonts w:cs="Arial"/>
          <w:szCs w:val="22"/>
        </w:rPr>
        <w:t xml:space="preserve"> </w:t>
      </w:r>
      <w:r>
        <w:rPr>
          <w:rFonts w:cs="Arial"/>
          <w:szCs w:val="22"/>
        </w:rPr>
        <w:t>(</w:t>
      </w:r>
      <w:r w:rsidR="00990A4E" w:rsidRPr="00857147">
        <w:rPr>
          <w:rFonts w:cs="Arial"/>
          <w:szCs w:val="22"/>
        </w:rPr>
        <w:t>groupe A</w:t>
      </w:r>
      <w:r>
        <w:rPr>
          <w:rFonts w:cs="Arial"/>
          <w:szCs w:val="22"/>
        </w:rPr>
        <w:t>)</w:t>
      </w:r>
      <w:r w:rsidR="00990A4E" w:rsidRPr="00857147">
        <w:rPr>
          <w:rFonts w:cs="Arial"/>
          <w:szCs w:val="22"/>
        </w:rPr>
        <w:t xml:space="preserve">, </w:t>
      </w:r>
      <w:r w:rsidRPr="00857147">
        <w:rPr>
          <w:rFonts w:cs="Arial"/>
          <w:szCs w:val="22"/>
        </w:rPr>
        <w:t>6</w:t>
      </w:r>
      <w:r w:rsidR="00990A4E" w:rsidRPr="00857147">
        <w:rPr>
          <w:rFonts w:cs="Arial"/>
          <w:szCs w:val="22"/>
        </w:rPr>
        <w:t xml:space="preserve"> </w:t>
      </w:r>
      <w:r>
        <w:rPr>
          <w:rFonts w:cs="Arial"/>
          <w:szCs w:val="22"/>
        </w:rPr>
        <w:t>(</w:t>
      </w:r>
      <w:r w:rsidR="00990A4E" w:rsidRPr="00C66086">
        <w:rPr>
          <w:rFonts w:cs="Arial"/>
          <w:szCs w:val="22"/>
        </w:rPr>
        <w:t xml:space="preserve">groupe </w:t>
      </w:r>
      <w:r w:rsidR="00990A4E">
        <w:rPr>
          <w:rFonts w:cs="Arial"/>
          <w:szCs w:val="22"/>
        </w:rPr>
        <w:t>B</w:t>
      </w:r>
      <w:r>
        <w:rPr>
          <w:rFonts w:cs="Arial"/>
          <w:szCs w:val="22"/>
        </w:rPr>
        <w:t>).</w:t>
      </w:r>
      <w:r w:rsidR="00CE6368">
        <w:rPr>
          <w:rFonts w:cs="Arial"/>
          <w:szCs w:val="22"/>
        </w:rPr>
        <w:t xml:space="preserve"> </w:t>
      </w:r>
      <w:r w:rsidR="00990A4E">
        <w:rPr>
          <w:rFonts w:cs="Arial"/>
          <w:szCs w:val="22"/>
        </w:rPr>
        <w:t>U</w:t>
      </w:r>
      <w:r w:rsidR="00990A4E" w:rsidRPr="00C66086">
        <w:rPr>
          <w:rFonts w:cs="Arial"/>
          <w:szCs w:val="22"/>
        </w:rPr>
        <w:t xml:space="preserve">ne augmentation moyenne de l’intervalle QT </w:t>
      </w:r>
      <w:r w:rsidR="00990A4E">
        <w:rPr>
          <w:rFonts w:cs="Arial"/>
          <w:szCs w:val="22"/>
        </w:rPr>
        <w:t xml:space="preserve">à l’ECG a été observée chez </w:t>
      </w:r>
      <w:r w:rsidR="00990A4E" w:rsidRPr="00C66086">
        <w:rPr>
          <w:rFonts w:cs="Arial"/>
          <w:szCs w:val="22"/>
        </w:rPr>
        <w:t xml:space="preserve">1,8% </w:t>
      </w:r>
      <w:r w:rsidR="00990A4E">
        <w:rPr>
          <w:rFonts w:cs="Arial"/>
          <w:szCs w:val="22"/>
        </w:rPr>
        <w:t>des patients dans les deux groupes ; u</w:t>
      </w:r>
      <w:r w:rsidR="00990A4E" w:rsidRPr="00C66086">
        <w:rPr>
          <w:rFonts w:cs="Arial"/>
          <w:szCs w:val="22"/>
        </w:rPr>
        <w:t>n intervalle QTc &gt; 500 ms a été observé chez 4 patients</w:t>
      </w:r>
      <w:r w:rsidR="00990A4E" w:rsidRPr="00D347E0">
        <w:rPr>
          <w:rFonts w:cs="Arial"/>
          <w:szCs w:val="22"/>
        </w:rPr>
        <w:t>. Vingt-</w:t>
      </w:r>
      <w:r w:rsidR="00990A4E" w:rsidRPr="00C66086">
        <w:rPr>
          <w:rFonts w:cs="Arial"/>
          <w:szCs w:val="22"/>
        </w:rPr>
        <w:t>six décès ont été rapportés au cours de l’étude</w:t>
      </w:r>
      <w:r w:rsidR="00990A4E">
        <w:rPr>
          <w:rFonts w:cs="Arial"/>
          <w:szCs w:val="22"/>
        </w:rPr>
        <w:t> ; d</w:t>
      </w:r>
      <w:r w:rsidR="00990A4E" w:rsidRPr="00C66086">
        <w:rPr>
          <w:rFonts w:cs="Arial"/>
          <w:szCs w:val="22"/>
        </w:rPr>
        <w:t>eux décès</w:t>
      </w:r>
      <w:r w:rsidR="00990A4E">
        <w:rPr>
          <w:rFonts w:cs="Arial"/>
          <w:szCs w:val="22"/>
        </w:rPr>
        <w:t xml:space="preserve">, rapportés </w:t>
      </w:r>
      <w:r w:rsidR="00990A4E" w:rsidRPr="00C66086">
        <w:rPr>
          <w:rFonts w:cs="Arial"/>
          <w:szCs w:val="22"/>
        </w:rPr>
        <w:t xml:space="preserve">dans le groupe </w:t>
      </w:r>
      <w:r w:rsidR="00990A4E">
        <w:rPr>
          <w:rFonts w:cs="Arial"/>
          <w:szCs w:val="22"/>
        </w:rPr>
        <w:t>A,</w:t>
      </w:r>
      <w:r w:rsidR="00990A4E" w:rsidRPr="00C66086">
        <w:rPr>
          <w:rFonts w:cs="Arial"/>
          <w:szCs w:val="22"/>
        </w:rPr>
        <w:t xml:space="preserve"> ont été considérés comme liés au traitement (</w:t>
      </w:r>
      <w:r w:rsidR="00990A4E">
        <w:rPr>
          <w:rFonts w:cs="Arial"/>
          <w:szCs w:val="22"/>
        </w:rPr>
        <w:t xml:space="preserve">une </w:t>
      </w:r>
      <w:r w:rsidR="00990A4E" w:rsidRPr="00C66086">
        <w:rPr>
          <w:rFonts w:cs="Arial"/>
          <w:szCs w:val="22"/>
        </w:rPr>
        <w:t xml:space="preserve">insuffisance respiratoire et </w:t>
      </w:r>
      <w:r w:rsidR="00990A4E">
        <w:rPr>
          <w:rFonts w:cs="Arial"/>
          <w:szCs w:val="22"/>
        </w:rPr>
        <w:t xml:space="preserve">un </w:t>
      </w:r>
      <w:r w:rsidR="00990A4E" w:rsidRPr="00C66086">
        <w:rPr>
          <w:rFonts w:cs="Arial"/>
          <w:szCs w:val="22"/>
        </w:rPr>
        <w:t xml:space="preserve">arrêt cardiaque). </w:t>
      </w:r>
    </w:p>
    <w:p w14:paraId="34B5763D" w14:textId="35573ABD" w:rsidR="00990A4E" w:rsidRDefault="00990A4E" w:rsidP="00990A4E">
      <w:pPr>
        <w:rPr>
          <w:rFonts w:cs="Arial"/>
          <w:szCs w:val="22"/>
        </w:rPr>
      </w:pPr>
    </w:p>
    <w:p w14:paraId="44AD6FC9" w14:textId="79246605" w:rsidR="00C76A2A" w:rsidRPr="00195617" w:rsidRDefault="00397AE6" w:rsidP="00397AE6">
      <w:pPr>
        <w:rPr>
          <w:rFonts w:cs="Arial"/>
          <w:b/>
          <w:bCs/>
          <w:szCs w:val="22"/>
        </w:rPr>
      </w:pPr>
      <w:r w:rsidRPr="00195617">
        <w:rPr>
          <w:rFonts w:cs="Arial"/>
          <w:szCs w:val="22"/>
        </w:rPr>
        <w:t>La somnolence</w:t>
      </w:r>
      <w:r w:rsidR="00B63B56" w:rsidRPr="00195617">
        <w:rPr>
          <w:rFonts w:cs="Arial"/>
          <w:szCs w:val="22"/>
        </w:rPr>
        <w:t xml:space="preserve"> a été l’</w:t>
      </w:r>
      <w:r w:rsidR="00990A4E" w:rsidRPr="00195617">
        <w:rPr>
          <w:rFonts w:cs="Arial"/>
          <w:szCs w:val="22"/>
        </w:rPr>
        <w:t>EI relié au traitement le plus fréque</w:t>
      </w:r>
      <w:r w:rsidR="00195617">
        <w:rPr>
          <w:rFonts w:cs="Arial"/>
          <w:szCs w:val="22"/>
        </w:rPr>
        <w:t>m</w:t>
      </w:r>
      <w:r w:rsidR="00195617" w:rsidRPr="00195617">
        <w:rPr>
          <w:rFonts w:cs="Arial"/>
          <w:szCs w:val="22"/>
        </w:rPr>
        <w:t>ment</w:t>
      </w:r>
      <w:r w:rsidR="00990A4E" w:rsidRPr="00195617">
        <w:rPr>
          <w:rFonts w:cs="Arial"/>
          <w:szCs w:val="22"/>
        </w:rPr>
        <w:t xml:space="preserve"> </w:t>
      </w:r>
      <w:r w:rsidR="00E25D68" w:rsidRPr="00195617">
        <w:rPr>
          <w:rFonts w:cs="Arial"/>
          <w:szCs w:val="22"/>
        </w:rPr>
        <w:t>rapporté</w:t>
      </w:r>
      <w:r w:rsidR="00195617" w:rsidRPr="00195617">
        <w:rPr>
          <w:rFonts w:cs="Arial"/>
          <w:szCs w:val="22"/>
        </w:rPr>
        <w:t>,</w:t>
      </w:r>
      <w:r w:rsidR="00E25D68" w:rsidRPr="00195617">
        <w:rPr>
          <w:rFonts w:cs="Arial"/>
          <w:szCs w:val="22"/>
        </w:rPr>
        <w:t xml:space="preserve"> </w:t>
      </w:r>
      <w:r w:rsidR="00C76A2A" w:rsidRPr="00195617">
        <w:rPr>
          <w:rFonts w:cs="Arial"/>
          <w:szCs w:val="22"/>
        </w:rPr>
        <w:t>respectivement chez 49,3</w:t>
      </w:r>
      <w:r w:rsidR="00195617" w:rsidRPr="00195617">
        <w:rPr>
          <w:rFonts w:cs="Arial"/>
          <w:szCs w:val="22"/>
        </w:rPr>
        <w:t>%</w:t>
      </w:r>
      <w:r w:rsidR="00C76A2A" w:rsidRPr="00195617">
        <w:rPr>
          <w:rFonts w:cs="Arial"/>
          <w:szCs w:val="22"/>
        </w:rPr>
        <w:t xml:space="preserve"> et 47%</w:t>
      </w:r>
      <w:r w:rsidR="00E25D68" w:rsidRPr="00195617">
        <w:rPr>
          <w:rFonts w:cs="Arial"/>
          <w:szCs w:val="22"/>
        </w:rPr>
        <w:t xml:space="preserve"> des patients</w:t>
      </w:r>
      <w:r w:rsidR="00C76A2A" w:rsidRPr="00195617">
        <w:rPr>
          <w:rFonts w:cs="Arial"/>
          <w:szCs w:val="22"/>
        </w:rPr>
        <w:t>.</w:t>
      </w:r>
      <w:r w:rsidR="00AB2D8C">
        <w:rPr>
          <w:rFonts w:cs="Arial"/>
          <w:szCs w:val="22"/>
        </w:rPr>
        <w:t xml:space="preserve"> </w:t>
      </w:r>
      <w:r w:rsidR="00C76A2A" w:rsidRPr="00195617">
        <w:rPr>
          <w:rFonts w:cs="Arial"/>
          <w:szCs w:val="22"/>
        </w:rPr>
        <w:t>L</w:t>
      </w:r>
      <w:r w:rsidRPr="00195617">
        <w:rPr>
          <w:rFonts w:cs="Arial"/>
          <w:szCs w:val="22"/>
        </w:rPr>
        <w:t>a constipation était rapportée chez 18% des patients, les vomissements chez 17%, l’état confusionnel chez 16</w:t>
      </w:r>
      <w:r w:rsidR="007D6E95" w:rsidRPr="00195617">
        <w:rPr>
          <w:rFonts w:cs="Arial"/>
          <w:szCs w:val="22"/>
        </w:rPr>
        <w:t>%,</w:t>
      </w:r>
      <w:r w:rsidRPr="00195617">
        <w:rPr>
          <w:rFonts w:cs="Arial"/>
          <w:szCs w:val="22"/>
        </w:rPr>
        <w:t xml:space="preserve"> les nausées et l’hy</w:t>
      </w:r>
      <w:r w:rsidR="00D347E0">
        <w:rPr>
          <w:rFonts w:cs="Arial"/>
          <w:szCs w:val="22"/>
        </w:rPr>
        <w:t>p</w:t>
      </w:r>
      <w:r w:rsidRPr="00195617">
        <w:rPr>
          <w:rFonts w:cs="Arial"/>
          <w:szCs w:val="22"/>
        </w:rPr>
        <w:t>erh</w:t>
      </w:r>
      <w:r w:rsidR="00D347E0">
        <w:rPr>
          <w:rFonts w:cs="Arial"/>
          <w:szCs w:val="22"/>
        </w:rPr>
        <w:t>i</w:t>
      </w:r>
      <w:r w:rsidRPr="00195617">
        <w:rPr>
          <w:rFonts w:cs="Arial"/>
          <w:szCs w:val="22"/>
        </w:rPr>
        <w:t>drose chez 13% des patients</w:t>
      </w:r>
      <w:r w:rsidR="00435C7E" w:rsidRPr="00195617">
        <w:rPr>
          <w:rFonts w:cs="Arial"/>
          <w:szCs w:val="22"/>
        </w:rPr>
        <w:t xml:space="preserve">, les </w:t>
      </w:r>
      <w:r w:rsidR="00435C7E" w:rsidRPr="00195617">
        <w:t>myoclonies (11%)</w:t>
      </w:r>
      <w:r w:rsidRPr="00195617">
        <w:rPr>
          <w:rFonts w:cs="Arial"/>
          <w:szCs w:val="22"/>
        </w:rPr>
        <w:t>.</w:t>
      </w:r>
    </w:p>
    <w:p w14:paraId="27A04713" w14:textId="77777777" w:rsidR="00E925CF" w:rsidRDefault="00E925CF" w:rsidP="00397AE6">
      <w:pPr>
        <w:rPr>
          <w:rFonts w:cs="Arial"/>
          <w:szCs w:val="22"/>
        </w:rPr>
      </w:pPr>
    </w:p>
    <w:p w14:paraId="4AD35E1F" w14:textId="77777777" w:rsidR="00B46C70" w:rsidRDefault="00B46C70" w:rsidP="00397AE6">
      <w:pPr>
        <w:pStyle w:val="Titre3"/>
      </w:pPr>
      <w:bookmarkStart w:id="15" w:name="_Toc5285420"/>
      <w:r>
        <w:t>Données issues de la pharmacovigilance et de la littérature</w:t>
      </w:r>
    </w:p>
    <w:p w14:paraId="29CEAA46" w14:textId="5B07DA7F" w:rsidR="00E925CF" w:rsidRDefault="007D2ED1" w:rsidP="00E925CF">
      <w:pPr>
        <w:rPr>
          <w:rFonts w:cs="Arial"/>
        </w:rPr>
      </w:pPr>
      <w:r w:rsidRPr="00E24591">
        <w:t>L</w:t>
      </w:r>
      <w:r w:rsidR="00C66086" w:rsidRPr="00E24591">
        <w:t>e laboratoire dispose de</w:t>
      </w:r>
      <w:r w:rsidR="00E925CF" w:rsidRPr="00E24591">
        <w:t xml:space="preserve"> données de </w:t>
      </w:r>
      <w:r w:rsidR="00C66086" w:rsidRPr="00E24591">
        <w:t xml:space="preserve">pharmacovigilance relatives à l’utilisation hors AMM </w:t>
      </w:r>
      <w:r w:rsidR="00E925CF" w:rsidRPr="00E24591">
        <w:t xml:space="preserve">de la méthadone </w:t>
      </w:r>
      <w:r w:rsidR="00C66086" w:rsidRPr="00E24591">
        <w:t>AP-HP</w:t>
      </w:r>
      <w:r w:rsidR="00E925CF" w:rsidRPr="00E24591">
        <w:t>.</w:t>
      </w:r>
      <w:r w:rsidR="00C66086" w:rsidRPr="00E24591">
        <w:t xml:space="preserve"> </w:t>
      </w:r>
      <w:r w:rsidR="00EB7535" w:rsidRPr="00E24591">
        <w:t xml:space="preserve">Entre </w:t>
      </w:r>
      <w:r w:rsidR="00C66086" w:rsidRPr="00E24591">
        <w:t xml:space="preserve">le début de la commercialisation </w:t>
      </w:r>
      <w:r w:rsidRPr="00E24591">
        <w:t xml:space="preserve">du produit </w:t>
      </w:r>
      <w:r w:rsidR="00C66086" w:rsidRPr="00E24591">
        <w:t>en 1995 et le 31 décembre 2018, 146</w:t>
      </w:r>
      <w:r w:rsidR="00E925CF" w:rsidRPr="00E24591">
        <w:t xml:space="preserve"> utilisation</w:t>
      </w:r>
      <w:r w:rsidR="00C66086" w:rsidRPr="00E24591">
        <w:t>s</w:t>
      </w:r>
      <w:r w:rsidR="00E925CF" w:rsidRPr="00E24591">
        <w:t xml:space="preserve"> dans </w:t>
      </w:r>
      <w:r w:rsidRPr="00E24591">
        <w:t xml:space="preserve">la prise en charge de </w:t>
      </w:r>
      <w:r w:rsidR="00E925CF" w:rsidRPr="00E24591">
        <w:t xml:space="preserve">la douleur ont été </w:t>
      </w:r>
      <w:r w:rsidR="00EB7535" w:rsidRPr="00E24591">
        <w:t xml:space="preserve">déclarées </w:t>
      </w:r>
      <w:r w:rsidR="00C66086" w:rsidRPr="00E24591">
        <w:t xml:space="preserve">au laboratoire </w:t>
      </w:r>
      <w:r w:rsidR="00E925CF" w:rsidRPr="00E24591">
        <w:t>Bouchara</w:t>
      </w:r>
      <w:r w:rsidR="00EA50C2">
        <w:t xml:space="preserve"> </w:t>
      </w:r>
      <w:r w:rsidR="00E925CF" w:rsidRPr="00E24591">
        <w:t>Recordati</w:t>
      </w:r>
      <w:r w:rsidRPr="00E24591">
        <w:t> ;</w:t>
      </w:r>
      <w:r w:rsidR="00E925CF" w:rsidRPr="00E24591">
        <w:t xml:space="preserve"> </w:t>
      </w:r>
      <w:r w:rsidR="00C66086" w:rsidRPr="00E24591">
        <w:rPr>
          <w:rFonts w:cs="Arial"/>
        </w:rPr>
        <w:t>12</w:t>
      </w:r>
      <w:r w:rsidR="00E925CF" w:rsidRPr="00E24591">
        <w:rPr>
          <w:rFonts w:cs="Arial"/>
        </w:rPr>
        <w:t xml:space="preserve"> cas </w:t>
      </w:r>
      <w:r w:rsidR="00C66086" w:rsidRPr="00E24591">
        <w:rPr>
          <w:rFonts w:cs="Arial"/>
        </w:rPr>
        <w:t>graves</w:t>
      </w:r>
      <w:r w:rsidR="00E925CF" w:rsidRPr="00E24591">
        <w:rPr>
          <w:rFonts w:cs="Arial"/>
        </w:rPr>
        <w:t xml:space="preserve"> </w:t>
      </w:r>
      <w:r w:rsidR="00C66086" w:rsidRPr="00E24591">
        <w:rPr>
          <w:rFonts w:cs="Arial"/>
        </w:rPr>
        <w:t xml:space="preserve">dont 6 cas de surdosage </w:t>
      </w:r>
      <w:r w:rsidR="00EB7535" w:rsidRPr="00E24591">
        <w:rPr>
          <w:rFonts w:cs="Arial"/>
        </w:rPr>
        <w:t>(</w:t>
      </w:r>
      <w:r w:rsidR="00C66086" w:rsidRPr="00E24591">
        <w:rPr>
          <w:rFonts w:cs="Arial"/>
        </w:rPr>
        <w:t>un</w:t>
      </w:r>
      <w:r w:rsidR="00562449" w:rsidRPr="00E24591">
        <w:rPr>
          <w:rFonts w:cs="Arial"/>
        </w:rPr>
        <w:t xml:space="preserve"> cas</w:t>
      </w:r>
      <w:r w:rsidR="00C66086" w:rsidRPr="00E24591">
        <w:rPr>
          <w:rFonts w:cs="Arial"/>
        </w:rPr>
        <w:t xml:space="preserve"> d’issue fatale</w:t>
      </w:r>
      <w:r w:rsidR="00EB7535" w:rsidRPr="00E24591">
        <w:rPr>
          <w:rFonts w:cs="Arial"/>
        </w:rPr>
        <w:t>)</w:t>
      </w:r>
      <w:r w:rsidR="00C66086" w:rsidRPr="00E24591">
        <w:rPr>
          <w:rFonts w:cs="Arial"/>
        </w:rPr>
        <w:t xml:space="preserve"> </w:t>
      </w:r>
      <w:r w:rsidR="00E925CF" w:rsidRPr="00E24591">
        <w:rPr>
          <w:rFonts w:cs="Arial"/>
        </w:rPr>
        <w:t xml:space="preserve">et </w:t>
      </w:r>
      <w:r w:rsidR="00C66086" w:rsidRPr="00E24591">
        <w:rPr>
          <w:rFonts w:cs="Arial"/>
        </w:rPr>
        <w:t>2 cas de pharmacodépendance</w:t>
      </w:r>
      <w:r w:rsidR="00EB7535" w:rsidRPr="00E24591">
        <w:rPr>
          <w:rFonts w:cs="Arial"/>
        </w:rPr>
        <w:t xml:space="preserve"> ont été notifiés.</w:t>
      </w:r>
    </w:p>
    <w:p w14:paraId="45BBF8E8" w14:textId="77777777" w:rsidR="002C3108" w:rsidRDefault="002C3108" w:rsidP="00E925CF">
      <w:pPr>
        <w:rPr>
          <w:rFonts w:cs="Arial"/>
        </w:rPr>
      </w:pPr>
    </w:p>
    <w:p w14:paraId="5748A93B" w14:textId="1B1F4F8D" w:rsidR="002C3108" w:rsidRPr="005B622D" w:rsidRDefault="00526EC1" w:rsidP="00E925CF">
      <w:pPr>
        <w:rPr>
          <w:rFonts w:cs="Arial"/>
          <w:bCs/>
          <w:color w:val="000000" w:themeColor="text1"/>
        </w:rPr>
      </w:pPr>
      <w:r w:rsidRPr="005B622D">
        <w:rPr>
          <w:rFonts w:cs="Arial"/>
          <w:bCs/>
          <w:color w:val="000000" w:themeColor="text1"/>
        </w:rPr>
        <w:t>L</w:t>
      </w:r>
      <w:r w:rsidR="00DA68D0" w:rsidRPr="005B622D">
        <w:rPr>
          <w:rFonts w:cs="Arial"/>
          <w:bCs/>
          <w:color w:val="000000" w:themeColor="text1"/>
        </w:rPr>
        <w:t>’analyse récente</w:t>
      </w:r>
      <w:r w:rsidR="00DF3B2C" w:rsidRPr="005B622D">
        <w:rPr>
          <w:rStyle w:val="Appelnotedebasdep"/>
          <w:rFonts w:cs="Arial"/>
          <w:bCs/>
          <w:color w:val="000000" w:themeColor="text1"/>
          <w:szCs w:val="22"/>
        </w:rPr>
        <w:footnoteReference w:id="14"/>
      </w:r>
      <w:r w:rsidR="00DA68D0" w:rsidRPr="005B622D">
        <w:rPr>
          <w:rFonts w:cs="Arial"/>
          <w:bCs/>
          <w:color w:val="000000" w:themeColor="text1"/>
          <w:szCs w:val="22"/>
        </w:rPr>
        <w:t xml:space="preserve"> des</w:t>
      </w:r>
      <w:r w:rsidR="00DA68D0" w:rsidRPr="005B622D">
        <w:rPr>
          <w:rFonts w:cs="Arial"/>
          <w:bCs/>
          <w:color w:val="000000" w:themeColor="text1"/>
        </w:rPr>
        <w:t xml:space="preserve"> données d’une étude</w:t>
      </w:r>
      <w:r w:rsidRPr="005B622D">
        <w:rPr>
          <w:rFonts w:cs="Arial"/>
          <w:bCs/>
          <w:color w:val="000000" w:themeColor="text1"/>
        </w:rPr>
        <w:t xml:space="preserve"> </w:t>
      </w:r>
      <w:r w:rsidR="00DA68D0" w:rsidRPr="005B622D">
        <w:rPr>
          <w:rFonts w:cs="Arial"/>
          <w:bCs/>
          <w:color w:val="000000" w:themeColor="text1"/>
        </w:rPr>
        <w:t xml:space="preserve">rétrospective </w:t>
      </w:r>
      <w:r w:rsidRPr="005B622D">
        <w:rPr>
          <w:rFonts w:cs="Arial"/>
          <w:bCs/>
          <w:color w:val="000000" w:themeColor="text1"/>
        </w:rPr>
        <w:t>américaine</w:t>
      </w:r>
      <w:r w:rsidR="00DF3B2C" w:rsidRPr="005B622D">
        <w:rPr>
          <w:rFonts w:cs="Arial"/>
          <w:bCs/>
          <w:color w:val="000000" w:themeColor="text1"/>
        </w:rPr>
        <w:t>,</w:t>
      </w:r>
      <w:r w:rsidRPr="005B622D">
        <w:rPr>
          <w:rFonts w:cs="Arial"/>
          <w:bCs/>
          <w:color w:val="000000" w:themeColor="text1"/>
        </w:rPr>
        <w:t xml:space="preserve"> réalisée à partir des</w:t>
      </w:r>
      <w:r w:rsidR="00C504C4">
        <w:rPr>
          <w:rFonts w:cs="Arial"/>
          <w:bCs/>
          <w:color w:val="000000" w:themeColor="text1"/>
        </w:rPr>
        <w:t xml:space="preserve"> </w:t>
      </w:r>
      <w:r w:rsidRPr="005B622D">
        <w:rPr>
          <w:rFonts w:cs="Arial"/>
          <w:bCs/>
          <w:color w:val="000000" w:themeColor="text1"/>
        </w:rPr>
        <w:t xml:space="preserve">événements indésirables </w:t>
      </w:r>
      <w:r w:rsidR="00DA68D0" w:rsidRPr="005B622D">
        <w:rPr>
          <w:rFonts w:cs="Arial"/>
          <w:bCs/>
          <w:color w:val="000000" w:themeColor="text1"/>
        </w:rPr>
        <w:t xml:space="preserve">déclarés </w:t>
      </w:r>
      <w:r w:rsidR="00DF3B2C" w:rsidRPr="005B622D">
        <w:rPr>
          <w:rFonts w:cs="Arial"/>
          <w:bCs/>
          <w:color w:val="000000" w:themeColor="text1"/>
        </w:rPr>
        <w:t xml:space="preserve">auprès du système de pharmacovigilance de la FDA </w:t>
      </w:r>
      <w:r w:rsidR="00DA68D0" w:rsidRPr="005B622D">
        <w:rPr>
          <w:rFonts w:cs="Arial"/>
          <w:bCs/>
          <w:color w:val="000000" w:themeColor="text1"/>
        </w:rPr>
        <w:t>entre janvier 2004 et mars 2019</w:t>
      </w:r>
      <w:r w:rsidRPr="005B622D">
        <w:rPr>
          <w:rFonts w:cs="Arial"/>
          <w:bCs/>
          <w:color w:val="000000" w:themeColor="text1"/>
        </w:rPr>
        <w:t xml:space="preserve">, </w:t>
      </w:r>
      <w:r w:rsidR="004B67FB" w:rsidRPr="005B622D">
        <w:rPr>
          <w:rFonts w:cs="Arial"/>
          <w:bCs/>
          <w:color w:val="000000" w:themeColor="text1"/>
        </w:rPr>
        <w:t xml:space="preserve">plaide en faveur d’une surveillance de la glycémie chez les patients traités par tramadol </w:t>
      </w:r>
      <w:r w:rsidR="00DF3B2C" w:rsidRPr="005B622D">
        <w:rPr>
          <w:rFonts w:cs="Arial"/>
          <w:bCs/>
          <w:color w:val="000000" w:themeColor="text1"/>
        </w:rPr>
        <w:t>ou par</w:t>
      </w:r>
      <w:r w:rsidR="004B67FB" w:rsidRPr="005B622D">
        <w:rPr>
          <w:rFonts w:cs="Arial"/>
          <w:bCs/>
          <w:color w:val="000000" w:themeColor="text1"/>
        </w:rPr>
        <w:t xml:space="preserve"> méthadone</w:t>
      </w:r>
      <w:r w:rsidR="007D3F6D">
        <w:rPr>
          <w:rFonts w:cs="Arial"/>
          <w:bCs/>
          <w:color w:val="000000" w:themeColor="text1"/>
        </w:rPr>
        <w:t> ;</w:t>
      </w:r>
      <w:r w:rsidR="004B67FB" w:rsidRPr="005B622D">
        <w:rPr>
          <w:rFonts w:cs="Arial"/>
          <w:bCs/>
          <w:color w:val="000000" w:themeColor="text1"/>
        </w:rPr>
        <w:t xml:space="preserve"> l’utilisation de ces médicaments </w:t>
      </w:r>
      <w:r w:rsidR="00232D40" w:rsidRPr="005B622D">
        <w:rPr>
          <w:rFonts w:cs="Arial"/>
          <w:bCs/>
          <w:color w:val="000000" w:themeColor="text1"/>
        </w:rPr>
        <w:t>seraient associé</w:t>
      </w:r>
      <w:r w:rsidR="0064296F" w:rsidRPr="005B622D">
        <w:rPr>
          <w:rFonts w:cs="Arial"/>
          <w:bCs/>
          <w:color w:val="000000" w:themeColor="text1"/>
        </w:rPr>
        <w:t>e</w:t>
      </w:r>
      <w:r w:rsidR="00232D40" w:rsidRPr="005B622D">
        <w:rPr>
          <w:rFonts w:cs="Arial"/>
          <w:bCs/>
          <w:color w:val="000000" w:themeColor="text1"/>
        </w:rPr>
        <w:t xml:space="preserve"> à la survenue d’hypog</w:t>
      </w:r>
      <w:r w:rsidR="004B67FB" w:rsidRPr="005B622D">
        <w:rPr>
          <w:rFonts w:cs="Arial"/>
          <w:bCs/>
          <w:color w:val="000000" w:themeColor="text1"/>
        </w:rPr>
        <w:t>l</w:t>
      </w:r>
      <w:r w:rsidR="00232D40" w:rsidRPr="005B622D">
        <w:rPr>
          <w:rFonts w:cs="Arial"/>
          <w:bCs/>
          <w:color w:val="000000" w:themeColor="text1"/>
        </w:rPr>
        <w:t>ycémies</w:t>
      </w:r>
      <w:r w:rsidRPr="005B622D">
        <w:rPr>
          <w:rFonts w:cs="Arial"/>
          <w:bCs/>
          <w:color w:val="000000" w:themeColor="text1"/>
        </w:rPr>
        <w:t>.</w:t>
      </w:r>
    </w:p>
    <w:p w14:paraId="7866FF31" w14:textId="77777777" w:rsidR="00E925CF" w:rsidRPr="00DF3B2C" w:rsidRDefault="00E925CF" w:rsidP="00E925CF"/>
    <w:p w14:paraId="2258EABF" w14:textId="77777777" w:rsidR="00B46C70" w:rsidRDefault="00B46C70" w:rsidP="00397AE6">
      <w:pPr>
        <w:pStyle w:val="Titre3"/>
      </w:pPr>
      <w:r>
        <w:t>Données issues du RCP</w:t>
      </w:r>
    </w:p>
    <w:p w14:paraId="48326340" w14:textId="77777777" w:rsidR="00C66086" w:rsidRDefault="00B40D4C" w:rsidP="00C66086">
      <w:r>
        <w:t>L</w:t>
      </w:r>
      <w:r w:rsidR="00C66086">
        <w:t>es risques majeurs de ZORYON sont la dépression respiratoire et les troubles du système nerveux central (somnolence, confusion, etc.). Bien que ces risques puissent survenir avec tout opioïde, la probabilité de survenue est élevée et maxima</w:t>
      </w:r>
      <w:r w:rsidR="00435C7E">
        <w:t>le quelques jours après l’instaura</w:t>
      </w:r>
      <w:r w:rsidR="00C66086">
        <w:t>tion du traitement pour la méthadone. Ces risques peuvent également être augmentés par les traitements concomit</w:t>
      </w:r>
      <w:r w:rsidR="00435C7E">
        <w:t>ants</w:t>
      </w:r>
      <w:r w:rsidR="00C66086">
        <w:t xml:space="preserve">. </w:t>
      </w:r>
    </w:p>
    <w:p w14:paraId="50165B20" w14:textId="77777777" w:rsidR="00EB7535" w:rsidRDefault="00EB7535" w:rsidP="00C66086"/>
    <w:p w14:paraId="04B2C268" w14:textId="6E445B01" w:rsidR="00435C7E" w:rsidRPr="00CD2B46" w:rsidRDefault="00AB2D8C" w:rsidP="00435C7E">
      <w:pPr>
        <w:rPr>
          <w:u w:val="single"/>
        </w:rPr>
      </w:pPr>
      <w:bookmarkStart w:id="16" w:name="_Toc142278920"/>
      <w:r>
        <w:rPr>
          <w:u w:val="single"/>
        </w:rPr>
        <w:t>« </w:t>
      </w:r>
      <w:r w:rsidR="00435C7E" w:rsidRPr="00CD2B46">
        <w:rPr>
          <w:u w:val="single"/>
        </w:rPr>
        <w:t xml:space="preserve">Mises en garde spéciales </w:t>
      </w:r>
      <w:bookmarkEnd w:id="16"/>
    </w:p>
    <w:p w14:paraId="58D8B2D9" w14:textId="540752C1" w:rsidR="00435C7E" w:rsidRPr="00435C7E" w:rsidRDefault="00435C7E" w:rsidP="00435C7E">
      <w:r w:rsidRPr="00435C7E">
        <w:t xml:space="preserve">Des dépendances physique et psychique peuvent apparaitre au cours d’un traitement par méthadone. </w:t>
      </w:r>
    </w:p>
    <w:p w14:paraId="0C5208F9" w14:textId="77777777" w:rsidR="00435C7E" w:rsidRPr="00435C7E" w:rsidRDefault="00435C7E" w:rsidP="00435C7E">
      <w:r w:rsidRPr="00435C7E">
        <w:t>L’arrêt brutal du traitement peut e</w:t>
      </w:r>
      <w:r>
        <w:t>ntraîner un syndrome de sevrage</w:t>
      </w:r>
      <w:r w:rsidRPr="00435C7E">
        <w:t xml:space="preserve">. L'apparition de ce syndrome de sevrage sera évitée par une diminution progressive des doses. </w:t>
      </w:r>
    </w:p>
    <w:p w14:paraId="422EFFA4" w14:textId="77777777" w:rsidR="00435C7E" w:rsidRPr="00435C7E" w:rsidRDefault="00435C7E" w:rsidP="00435C7E">
      <w:r w:rsidRPr="00435C7E">
        <w:t xml:space="preserve">La méthadone est un stupéfiant qui peut donner lieu à un mésusage et un usage abusif chez des personnes à risque. L'usage détourné peut entraîner des effets indésirables graves pouvant être fatals. </w:t>
      </w:r>
    </w:p>
    <w:p w14:paraId="2011FF7C" w14:textId="36531D61" w:rsidR="00435C7E" w:rsidRDefault="00435C7E" w:rsidP="00FD57C9">
      <w:pPr>
        <w:rPr>
          <w:szCs w:val="22"/>
          <w:u w:val="single"/>
        </w:rPr>
      </w:pPr>
      <w:r w:rsidRPr="00435C7E">
        <w:t>La dose létale de la méthadone est de l’ordre de 1 mg/kg pour les enfants et les personnes naïves ou peu dépendantes aux opioïdes</w:t>
      </w:r>
      <w:r w:rsidR="00FE66F6">
        <w:t>.</w:t>
      </w:r>
    </w:p>
    <w:p w14:paraId="6D8307C5" w14:textId="77777777" w:rsidR="00435C7E" w:rsidRPr="00435C7E" w:rsidRDefault="00435C7E" w:rsidP="00CD2B46">
      <w:pPr>
        <w:pStyle w:val="ammcorpstexte0"/>
        <w:spacing w:before="120"/>
        <w:jc w:val="both"/>
        <w:rPr>
          <w:sz w:val="22"/>
          <w:szCs w:val="22"/>
        </w:rPr>
      </w:pPr>
      <w:r w:rsidRPr="00435C7E">
        <w:rPr>
          <w:sz w:val="22"/>
          <w:szCs w:val="22"/>
          <w:u w:val="single"/>
        </w:rPr>
        <w:t>Des cas d’allongement de l’intervalle QT et des torsades de pointe</w:t>
      </w:r>
      <w:r w:rsidRPr="00435C7E">
        <w:rPr>
          <w:sz w:val="22"/>
          <w:szCs w:val="22"/>
        </w:rPr>
        <w:t xml:space="preserve"> ont été rapportés au cours de traitements par la méthadone, principalement pour des poso</w:t>
      </w:r>
      <w:r w:rsidR="00CD2B46">
        <w:rPr>
          <w:sz w:val="22"/>
          <w:szCs w:val="22"/>
        </w:rPr>
        <w:t xml:space="preserve">logies élevées (&gt; 120 mg/j). La </w:t>
      </w:r>
      <w:r w:rsidRPr="00435C7E">
        <w:rPr>
          <w:sz w:val="22"/>
          <w:szCs w:val="22"/>
        </w:rPr>
        <w:t xml:space="preserve">méthadone doit être administrée avec prudence, sous surveillance clinique, électrolytique et ECG. La surveillance ECG doit être réalisée chez tous les patients avant l’instauration de la méthadone, avec un autre test ECG à la stabilisation de la posologie. </w:t>
      </w:r>
    </w:p>
    <w:p w14:paraId="56CDF498" w14:textId="77777777" w:rsidR="00CD2B46" w:rsidRDefault="00435C7E" w:rsidP="00CD2B46">
      <w:pPr>
        <w:pStyle w:val="ammcorpstexte0"/>
        <w:jc w:val="both"/>
        <w:rPr>
          <w:sz w:val="22"/>
          <w:szCs w:val="22"/>
        </w:rPr>
      </w:pPr>
      <w:r w:rsidRPr="00435C7E">
        <w:rPr>
          <w:sz w:val="22"/>
          <w:szCs w:val="22"/>
        </w:rPr>
        <w:t>La surveillance de l’ECG doit être poursuivie tout au long du traitement, et en particulier après chaque augmentation de posologie ou chez les patients présentant un risque d'</w:t>
      </w:r>
      <w:r w:rsidR="00CD2B46">
        <w:rPr>
          <w:sz w:val="22"/>
          <w:szCs w:val="22"/>
        </w:rPr>
        <w:t>allongement de l'intervalle QT.</w:t>
      </w:r>
    </w:p>
    <w:p w14:paraId="362D57F1" w14:textId="77777777" w:rsidR="00435C7E" w:rsidRPr="00CD2B46" w:rsidRDefault="00435C7E" w:rsidP="00CD2B46">
      <w:pPr>
        <w:pStyle w:val="ammlistepuces1"/>
        <w:spacing w:before="120" w:beforeAutospacing="0" w:after="0" w:afterAutospacing="0"/>
        <w:rPr>
          <w:sz w:val="22"/>
          <w:szCs w:val="22"/>
        </w:rPr>
      </w:pPr>
      <w:r w:rsidRPr="00CD2B46">
        <w:rPr>
          <w:bCs/>
          <w:sz w:val="22"/>
          <w:szCs w:val="22"/>
          <w:u w:val="single"/>
        </w:rPr>
        <w:t xml:space="preserve">Dépression du SNC </w:t>
      </w:r>
    </w:p>
    <w:p w14:paraId="04938189" w14:textId="6EBC56E8" w:rsidR="00DB1BA9" w:rsidRDefault="00435C7E" w:rsidP="00CD2B46">
      <w:pPr>
        <w:pStyle w:val="ammlistepuces1"/>
        <w:spacing w:before="0" w:beforeAutospacing="0" w:after="0" w:afterAutospacing="0"/>
        <w:jc w:val="both"/>
        <w:rPr>
          <w:sz w:val="22"/>
          <w:szCs w:val="22"/>
        </w:rPr>
      </w:pPr>
      <w:r w:rsidRPr="00435C7E">
        <w:rPr>
          <w:sz w:val="22"/>
          <w:szCs w:val="22"/>
        </w:rPr>
        <w:t>La surveillance et l’évaluation des patients pendant la première semaine sont primordiales. En effet lors de l’administration de méthadone, l’état d’équilibre est obtenu tardivement, avec en particulier un risque d’augmentation de la concentration plasmatique entre le 4</w:t>
      </w:r>
      <w:r w:rsidRPr="000B5A89">
        <w:rPr>
          <w:sz w:val="22"/>
          <w:szCs w:val="22"/>
          <w:vertAlign w:val="superscript"/>
        </w:rPr>
        <w:t>ème</w:t>
      </w:r>
      <w:r w:rsidRPr="00435C7E">
        <w:rPr>
          <w:sz w:val="22"/>
          <w:szCs w:val="22"/>
        </w:rPr>
        <w:t xml:space="preserve"> et le 6</w:t>
      </w:r>
      <w:r w:rsidRPr="000B5A89">
        <w:rPr>
          <w:sz w:val="22"/>
          <w:szCs w:val="22"/>
          <w:vertAlign w:val="superscript"/>
        </w:rPr>
        <w:t>ème</w:t>
      </w:r>
      <w:r w:rsidRPr="00435C7E">
        <w:rPr>
          <w:sz w:val="22"/>
          <w:szCs w:val="22"/>
        </w:rPr>
        <w:t xml:space="preserve"> jour, d’où une vigilance clinique accrue pendant cette période.</w:t>
      </w:r>
      <w:r w:rsidR="00AB2D8C">
        <w:rPr>
          <w:sz w:val="22"/>
          <w:szCs w:val="22"/>
        </w:rPr>
        <w:t> »</w:t>
      </w:r>
      <w:r w:rsidRPr="00435C7E">
        <w:rPr>
          <w:sz w:val="22"/>
          <w:szCs w:val="22"/>
        </w:rPr>
        <w:t xml:space="preserve"> </w:t>
      </w:r>
    </w:p>
    <w:p w14:paraId="29C6B9EF" w14:textId="77777777" w:rsidR="00EC35A5" w:rsidRPr="00EA50C2" w:rsidRDefault="00EC35A5" w:rsidP="00EA50C2"/>
    <w:p w14:paraId="47D7C450" w14:textId="77777777" w:rsidR="00537F80" w:rsidRPr="00537F80" w:rsidRDefault="00537F80" w:rsidP="00397AE6">
      <w:pPr>
        <w:pStyle w:val="Titre3"/>
      </w:pPr>
      <w:r w:rsidRPr="00537F80">
        <w:t>Plan de gestion des risques (PGR)</w:t>
      </w:r>
      <w:bookmarkEnd w:id="15"/>
    </w:p>
    <w:p w14:paraId="3B931DA2" w14:textId="77777777" w:rsidR="00537F80" w:rsidRDefault="00537F80" w:rsidP="00B46C70">
      <w:pPr>
        <w:rPr>
          <w:szCs w:val="22"/>
        </w:rPr>
      </w:pPr>
      <w:r w:rsidRPr="00537F80">
        <w:rPr>
          <w:szCs w:val="22"/>
        </w:rPr>
        <w:t xml:space="preserve">Les risques décrits dans le plan de gestion des </w:t>
      </w:r>
      <w:r w:rsidRPr="00D2069A">
        <w:rPr>
          <w:szCs w:val="22"/>
        </w:rPr>
        <w:t xml:space="preserve">risques des spécialités ZORYON </w:t>
      </w:r>
      <w:r w:rsidR="00B46C70">
        <w:rPr>
          <w:szCs w:val="22"/>
        </w:rPr>
        <w:t>sont les suivants :</w:t>
      </w:r>
    </w:p>
    <w:p w14:paraId="15E4B143" w14:textId="77777777" w:rsidR="00B46C70" w:rsidRPr="00B46C70" w:rsidRDefault="00B46C70" w:rsidP="00B46C70">
      <w:pPr>
        <w:rPr>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60"/>
      </w:tblGrid>
      <w:tr w:rsidR="00537F80" w:rsidRPr="00EA50C2" w14:paraId="5E357889" w14:textId="77777777" w:rsidTr="00BE2DBC">
        <w:trPr>
          <w:trHeight w:val="437"/>
        </w:trPr>
        <w:tc>
          <w:tcPr>
            <w:tcW w:w="3119" w:type="dxa"/>
            <w:vAlign w:val="center"/>
          </w:tcPr>
          <w:p w14:paraId="01710FEA"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0"/>
                <w:szCs w:val="18"/>
              </w:rPr>
            </w:pPr>
            <w:r w:rsidRPr="00EA50C2">
              <w:rPr>
                <w:rFonts w:cs="Arial"/>
                <w:sz w:val="20"/>
                <w:szCs w:val="18"/>
              </w:rPr>
              <w:t>Risques identifiés importants</w:t>
            </w:r>
          </w:p>
        </w:tc>
        <w:tc>
          <w:tcPr>
            <w:tcW w:w="6260" w:type="dxa"/>
            <w:vAlign w:val="center"/>
          </w:tcPr>
          <w:p w14:paraId="697C3CCD"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18"/>
              </w:rPr>
            </w:pPr>
            <w:r w:rsidRPr="00EA50C2">
              <w:rPr>
                <w:rFonts w:cs="Arial"/>
                <w:sz w:val="20"/>
                <w:szCs w:val="18"/>
              </w:rPr>
              <w:t>Surdosage ; torsades de pointe/allongement du QT ; dépression respiratoire</w:t>
            </w:r>
          </w:p>
        </w:tc>
      </w:tr>
      <w:tr w:rsidR="00537F80" w:rsidRPr="00EA50C2" w14:paraId="45418367" w14:textId="77777777" w:rsidTr="00BE2DBC">
        <w:trPr>
          <w:trHeight w:val="982"/>
        </w:trPr>
        <w:tc>
          <w:tcPr>
            <w:tcW w:w="3119" w:type="dxa"/>
            <w:vAlign w:val="center"/>
          </w:tcPr>
          <w:p w14:paraId="445E12EF"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0"/>
                <w:szCs w:val="18"/>
              </w:rPr>
            </w:pPr>
            <w:r w:rsidRPr="00EA50C2">
              <w:rPr>
                <w:rFonts w:cs="Arial"/>
                <w:sz w:val="20"/>
                <w:szCs w:val="18"/>
              </w:rPr>
              <w:t>Risques potentiels importants</w:t>
            </w:r>
          </w:p>
        </w:tc>
        <w:tc>
          <w:tcPr>
            <w:tcW w:w="6260" w:type="dxa"/>
            <w:vAlign w:val="center"/>
          </w:tcPr>
          <w:p w14:paraId="68093BA1"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18"/>
              </w:rPr>
            </w:pPr>
            <w:r w:rsidRPr="00EA50C2">
              <w:rPr>
                <w:rFonts w:cs="Arial"/>
                <w:sz w:val="20"/>
                <w:szCs w:val="18"/>
              </w:rPr>
              <w:t>Intoxication accidentelle (pédiatrique et population naïve) ; mésusage (sniff, injection) ; indication hors-AMM (population, conditions d’utilisation, conditions de prescription et de dispensation) ; diversion (trafic) ; abus/dépendance, syndrome de sevrage, effets sédatifs</w:t>
            </w:r>
          </w:p>
        </w:tc>
      </w:tr>
      <w:tr w:rsidR="00537F80" w:rsidRPr="00EA50C2" w14:paraId="48A5851A" w14:textId="77777777" w:rsidTr="00EA50C2">
        <w:trPr>
          <w:trHeight w:val="395"/>
        </w:trPr>
        <w:tc>
          <w:tcPr>
            <w:tcW w:w="3119" w:type="dxa"/>
            <w:vAlign w:val="center"/>
          </w:tcPr>
          <w:p w14:paraId="7D5AE02E"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Arial"/>
                <w:sz w:val="20"/>
                <w:szCs w:val="18"/>
              </w:rPr>
            </w:pPr>
            <w:r w:rsidRPr="00EA50C2">
              <w:rPr>
                <w:rFonts w:cs="Arial"/>
                <w:sz w:val="20"/>
                <w:szCs w:val="18"/>
              </w:rPr>
              <w:t>Informations manquantes</w:t>
            </w:r>
          </w:p>
        </w:tc>
        <w:tc>
          <w:tcPr>
            <w:tcW w:w="6260" w:type="dxa"/>
            <w:vAlign w:val="center"/>
          </w:tcPr>
          <w:p w14:paraId="225735C8"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18"/>
              </w:rPr>
            </w:pPr>
            <w:r w:rsidRPr="00EA50C2">
              <w:rPr>
                <w:rFonts w:cs="Arial"/>
                <w:sz w:val="20"/>
                <w:szCs w:val="18"/>
              </w:rPr>
              <w:t>Patients âgés</w:t>
            </w:r>
          </w:p>
          <w:p w14:paraId="06B6F0E2"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18"/>
              </w:rPr>
            </w:pPr>
            <w:r w:rsidRPr="00EA50C2">
              <w:rPr>
                <w:rFonts w:cs="Arial"/>
                <w:sz w:val="20"/>
                <w:szCs w:val="18"/>
              </w:rPr>
              <w:t>Patients avec une insuffisance hépatique et/ou rénale</w:t>
            </w:r>
          </w:p>
          <w:p w14:paraId="3343BC8F" w14:textId="77777777" w:rsidR="00537F80" w:rsidRPr="00EA50C2" w:rsidRDefault="00537F80" w:rsidP="00BE2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szCs w:val="18"/>
              </w:rPr>
            </w:pPr>
            <w:r w:rsidRPr="00EA50C2">
              <w:rPr>
                <w:rFonts w:cs="Arial"/>
                <w:sz w:val="20"/>
                <w:szCs w:val="18"/>
              </w:rPr>
              <w:t>Utilisation au long cours de méthadone</w:t>
            </w:r>
          </w:p>
        </w:tc>
      </w:tr>
    </w:tbl>
    <w:p w14:paraId="10F01768" w14:textId="77777777" w:rsidR="00537F80" w:rsidRPr="00537F80" w:rsidRDefault="00537F80" w:rsidP="00537F80">
      <w:pPr>
        <w:rPr>
          <w:szCs w:val="22"/>
        </w:rPr>
      </w:pPr>
    </w:p>
    <w:p w14:paraId="65BEA5E7" w14:textId="56CB1B3C" w:rsidR="00537F80" w:rsidRDefault="00B46C70" w:rsidP="00537F80">
      <w:pPr>
        <w:rPr>
          <w:szCs w:val="22"/>
        </w:rPr>
      </w:pPr>
      <w:r>
        <w:rPr>
          <w:szCs w:val="22"/>
        </w:rPr>
        <w:t>L</w:t>
      </w:r>
      <w:r w:rsidR="00537F80" w:rsidRPr="00537F80">
        <w:rPr>
          <w:szCs w:val="22"/>
        </w:rPr>
        <w:t xml:space="preserve">es risques </w:t>
      </w:r>
      <w:r>
        <w:rPr>
          <w:szCs w:val="22"/>
        </w:rPr>
        <w:t>de surdosage, de torsade de pointe, d’intoxication accidentelle (</w:t>
      </w:r>
      <w:r w:rsidRPr="00B46C70">
        <w:rPr>
          <w:szCs w:val="22"/>
        </w:rPr>
        <w:t xml:space="preserve">enfant et </w:t>
      </w:r>
      <w:r w:rsidRPr="0029136B">
        <w:rPr>
          <w:szCs w:val="22"/>
        </w:rPr>
        <w:t xml:space="preserve">sujet naïf) </w:t>
      </w:r>
      <w:r>
        <w:rPr>
          <w:szCs w:val="22"/>
        </w:rPr>
        <w:t>et l’u</w:t>
      </w:r>
      <w:r w:rsidRPr="00B46C70">
        <w:rPr>
          <w:szCs w:val="22"/>
        </w:rPr>
        <w:t xml:space="preserve">tilisation hors-AMM </w:t>
      </w:r>
      <w:r w:rsidR="00537F80" w:rsidRPr="00537F80">
        <w:rPr>
          <w:szCs w:val="22"/>
        </w:rPr>
        <w:t xml:space="preserve">font l’objet de mesures additionnelles de réduction des risques </w:t>
      </w:r>
      <w:r>
        <w:rPr>
          <w:szCs w:val="22"/>
        </w:rPr>
        <w:t xml:space="preserve">avec notamment la mise à disposition de matériel pédagogique pour les prescripteurs, les </w:t>
      </w:r>
      <w:r w:rsidRPr="00FC3D36">
        <w:rPr>
          <w:color w:val="000000" w:themeColor="text1"/>
          <w:szCs w:val="22"/>
        </w:rPr>
        <w:t>professionnels de santé</w:t>
      </w:r>
      <w:r w:rsidR="00562449" w:rsidRPr="00FC3D36">
        <w:rPr>
          <w:color w:val="000000" w:themeColor="text1"/>
          <w:szCs w:val="22"/>
        </w:rPr>
        <w:t>,</w:t>
      </w:r>
      <w:r w:rsidRPr="00FC3D36">
        <w:rPr>
          <w:color w:val="000000" w:themeColor="text1"/>
          <w:szCs w:val="22"/>
        </w:rPr>
        <w:t xml:space="preserve"> les patients et l’entourage </w:t>
      </w:r>
      <w:r w:rsidRPr="00B46C70">
        <w:rPr>
          <w:szCs w:val="22"/>
        </w:rPr>
        <w:t xml:space="preserve">du patient </w:t>
      </w:r>
      <w:r>
        <w:rPr>
          <w:szCs w:val="22"/>
        </w:rPr>
        <w:t>validé</w:t>
      </w:r>
      <w:r w:rsidR="00FE66F6">
        <w:rPr>
          <w:szCs w:val="22"/>
        </w:rPr>
        <w:t>e</w:t>
      </w:r>
      <w:r>
        <w:rPr>
          <w:szCs w:val="22"/>
        </w:rPr>
        <w:t>s par l’ANSM.</w:t>
      </w:r>
    </w:p>
    <w:p w14:paraId="5DEF86CD" w14:textId="77777777" w:rsidR="009C68E1" w:rsidRPr="00A11F20" w:rsidRDefault="009C68E1" w:rsidP="009C68E1">
      <w:pPr>
        <w:rPr>
          <w:rFonts w:cs="Arial"/>
          <w:bCs/>
          <w:iCs/>
          <w:szCs w:val="22"/>
        </w:rPr>
      </w:pPr>
    </w:p>
    <w:p w14:paraId="4913584A" w14:textId="77777777" w:rsidR="009C68E1" w:rsidRPr="00C13E96" w:rsidRDefault="009C68E1" w:rsidP="00DA6BD6">
      <w:pPr>
        <w:pStyle w:val="Titre2"/>
      </w:pPr>
      <w:r w:rsidRPr="00C13E96">
        <w:t>Données d’utilisation</w:t>
      </w:r>
    </w:p>
    <w:p w14:paraId="062EE55B" w14:textId="5B831746" w:rsidR="00A11F20" w:rsidRPr="00FC1398" w:rsidRDefault="00A11F20" w:rsidP="009C68E1">
      <w:pPr>
        <w:rPr>
          <w:rFonts w:cs="Arial"/>
          <w:bCs/>
          <w:szCs w:val="22"/>
        </w:rPr>
      </w:pPr>
      <w:r w:rsidRPr="00FC1398">
        <w:rPr>
          <w:rFonts w:cs="Arial"/>
          <w:bCs/>
          <w:szCs w:val="22"/>
        </w:rPr>
        <w:t>Le laboratoire n’a pas fourni de données sur l’utilisation</w:t>
      </w:r>
      <w:r w:rsidR="0003425B">
        <w:rPr>
          <w:rFonts w:cs="Arial"/>
          <w:bCs/>
          <w:szCs w:val="22"/>
        </w:rPr>
        <w:t xml:space="preserve"> </w:t>
      </w:r>
      <w:r w:rsidRPr="00FC1398">
        <w:rPr>
          <w:rFonts w:cs="Arial"/>
          <w:bCs/>
          <w:szCs w:val="22"/>
        </w:rPr>
        <w:t>hors</w:t>
      </w:r>
      <w:r w:rsidR="0003425B">
        <w:rPr>
          <w:rFonts w:cs="Arial"/>
          <w:bCs/>
          <w:szCs w:val="22"/>
        </w:rPr>
        <w:t xml:space="preserve"> </w:t>
      </w:r>
      <w:r w:rsidRPr="00FC1398">
        <w:rPr>
          <w:rFonts w:cs="Arial"/>
          <w:bCs/>
          <w:szCs w:val="22"/>
        </w:rPr>
        <w:t xml:space="preserve">AMM de la méthadone dans la </w:t>
      </w:r>
      <w:r w:rsidR="00A64EE4" w:rsidRPr="00FC1398">
        <w:rPr>
          <w:rFonts w:cs="Arial"/>
          <w:bCs/>
          <w:szCs w:val="22"/>
        </w:rPr>
        <w:t xml:space="preserve">prise en charge des patients ayant des </w:t>
      </w:r>
      <w:r w:rsidRPr="00FC1398">
        <w:rPr>
          <w:rFonts w:cs="Arial"/>
          <w:bCs/>
          <w:szCs w:val="22"/>
        </w:rPr>
        <w:t>douleur</w:t>
      </w:r>
      <w:r w:rsidR="00A64EE4" w:rsidRPr="00FC1398">
        <w:rPr>
          <w:rFonts w:cs="Arial"/>
          <w:bCs/>
          <w:szCs w:val="22"/>
        </w:rPr>
        <w:t>s d’origine cancéreuse.</w:t>
      </w:r>
    </w:p>
    <w:p w14:paraId="02F93618" w14:textId="77777777" w:rsidR="00A36F8B" w:rsidRPr="00B90CEA" w:rsidRDefault="00A36F8B" w:rsidP="009C68E1">
      <w:pPr>
        <w:rPr>
          <w:rFonts w:cs="Arial"/>
          <w:bCs/>
          <w:szCs w:val="22"/>
        </w:rPr>
      </w:pPr>
    </w:p>
    <w:p w14:paraId="2D9CE121" w14:textId="77777777" w:rsidR="009C68E1" w:rsidRPr="00C13E96" w:rsidRDefault="009C68E1" w:rsidP="00DA6BD6">
      <w:pPr>
        <w:pStyle w:val="Titre2"/>
      </w:pPr>
      <w:r w:rsidRPr="00C13E96">
        <w:t xml:space="preserve">Résumé </w:t>
      </w:r>
      <w:r w:rsidR="00FD7D94" w:rsidRPr="00C13E96">
        <w:t>&amp;</w:t>
      </w:r>
      <w:r w:rsidRPr="00C13E96">
        <w:t xml:space="preserve"> discussion</w:t>
      </w:r>
    </w:p>
    <w:p w14:paraId="70190EA4" w14:textId="197F8E48" w:rsidR="00815DC9" w:rsidRPr="00076B52" w:rsidRDefault="002156E7" w:rsidP="00815DC9">
      <w:pPr>
        <w:rPr>
          <w:rFonts w:cs="Arial"/>
          <w:szCs w:val="22"/>
        </w:rPr>
      </w:pPr>
      <w:r>
        <w:rPr>
          <w:rFonts w:cs="Arial"/>
          <w:szCs w:val="22"/>
        </w:rPr>
        <w:t>La méthadone est un</w:t>
      </w:r>
      <w:r w:rsidRPr="002156E7">
        <w:rPr>
          <w:rFonts w:cs="Arial"/>
          <w:bCs/>
          <w:iCs/>
          <w:szCs w:val="22"/>
        </w:rPr>
        <w:t xml:space="preserve"> </w:t>
      </w:r>
      <w:r>
        <w:rPr>
          <w:rFonts w:cs="Arial"/>
          <w:bCs/>
          <w:iCs/>
          <w:szCs w:val="22"/>
        </w:rPr>
        <w:t xml:space="preserve">analgésique opioïde utilisé </w:t>
      </w:r>
      <w:r w:rsidR="00815DC9">
        <w:rPr>
          <w:rFonts w:cs="Arial"/>
          <w:bCs/>
          <w:iCs/>
          <w:szCs w:val="22"/>
        </w:rPr>
        <w:t xml:space="preserve">et recommandé </w:t>
      </w:r>
      <w:r>
        <w:rPr>
          <w:rFonts w:cs="Arial"/>
          <w:bCs/>
          <w:iCs/>
          <w:szCs w:val="22"/>
        </w:rPr>
        <w:t xml:space="preserve">depuis de nombreuses années </w:t>
      </w:r>
      <w:r w:rsidR="00DD4C07">
        <w:rPr>
          <w:rFonts w:cs="Arial"/>
          <w:bCs/>
          <w:iCs/>
          <w:szCs w:val="22"/>
        </w:rPr>
        <w:t xml:space="preserve">dans la prise en charge de patients ayant des douleurs </w:t>
      </w:r>
      <w:r w:rsidR="00227918">
        <w:rPr>
          <w:rFonts w:cs="Arial"/>
          <w:bCs/>
          <w:iCs/>
          <w:szCs w:val="22"/>
        </w:rPr>
        <w:t>d’origine cancéreuse</w:t>
      </w:r>
      <w:r w:rsidR="00815DC9">
        <w:rPr>
          <w:rFonts w:cs="Arial"/>
          <w:bCs/>
          <w:iCs/>
          <w:szCs w:val="22"/>
        </w:rPr>
        <w:t>,</w:t>
      </w:r>
      <w:r w:rsidR="00815DC9" w:rsidRPr="00815DC9">
        <w:rPr>
          <w:rFonts w:cs="Arial"/>
          <w:szCs w:val="22"/>
        </w:rPr>
        <w:t xml:space="preserve"> </w:t>
      </w:r>
      <w:r w:rsidR="00815DC9">
        <w:rPr>
          <w:rFonts w:cs="Arial"/>
          <w:szCs w:val="22"/>
        </w:rPr>
        <w:t>notamment dans le cadre de rotation d’opioïde.</w:t>
      </w:r>
    </w:p>
    <w:p w14:paraId="2EC7BCEA" w14:textId="221B975B" w:rsidR="00227918" w:rsidRDefault="00227918" w:rsidP="00482BCA">
      <w:pPr>
        <w:rPr>
          <w:rFonts w:cs="Arial"/>
          <w:bCs/>
          <w:iCs/>
          <w:szCs w:val="22"/>
        </w:rPr>
      </w:pPr>
    </w:p>
    <w:p w14:paraId="43CEA1BE" w14:textId="2822BB19" w:rsidR="00F243EC" w:rsidRPr="00F243EC" w:rsidRDefault="00F243EC" w:rsidP="00F243EC">
      <w:pPr>
        <w:pStyle w:val="PrformatHTML"/>
        <w:jc w:val="both"/>
        <w:rPr>
          <w:rFonts w:ascii="Arial" w:hAnsi="Arial" w:cs="Arial"/>
          <w:sz w:val="22"/>
          <w:szCs w:val="22"/>
        </w:rPr>
      </w:pPr>
      <w:r w:rsidRPr="00F243EC">
        <w:rPr>
          <w:rFonts w:ascii="Arial" w:hAnsi="Arial" w:cs="Arial"/>
          <w:sz w:val="22"/>
          <w:szCs w:val="22"/>
        </w:rPr>
        <w:t>Une revue de la littérature Cochrane actualisée en 2017 a mis en évidence le nombre limité d’études contrôlées randomisées ayant évalué l’efficacité de la méthadone versus traitement a</w:t>
      </w:r>
      <w:r>
        <w:rPr>
          <w:rFonts w:ascii="Arial" w:hAnsi="Arial" w:cs="Arial"/>
          <w:sz w:val="22"/>
          <w:szCs w:val="22"/>
        </w:rPr>
        <w:t>c</w:t>
      </w:r>
      <w:r w:rsidRPr="00F243EC">
        <w:rPr>
          <w:rFonts w:ascii="Arial" w:hAnsi="Arial" w:cs="Arial"/>
          <w:sz w:val="22"/>
          <w:szCs w:val="22"/>
        </w:rPr>
        <w:t>tif</w:t>
      </w:r>
      <w:r w:rsidR="00815DC9">
        <w:rPr>
          <w:rFonts w:ascii="Arial" w:hAnsi="Arial" w:cs="Arial"/>
          <w:sz w:val="22"/>
          <w:szCs w:val="22"/>
        </w:rPr>
        <w:t xml:space="preserve"> </w:t>
      </w:r>
      <w:r w:rsidRPr="00F243EC">
        <w:rPr>
          <w:rFonts w:ascii="Arial" w:hAnsi="Arial" w:cs="Arial"/>
          <w:sz w:val="22"/>
          <w:szCs w:val="22"/>
        </w:rPr>
        <w:t xml:space="preserve">dans la douleur d’origine cancéreuse. Aucune méta-analyse n’a pu être réalisée. </w:t>
      </w:r>
      <w:r w:rsidRPr="00F243EC">
        <w:rPr>
          <w:rFonts w:ascii="Arial" w:hAnsi="Arial" w:cs="Arial"/>
          <w:color w:val="222222"/>
          <w:sz w:val="22"/>
          <w:szCs w:val="22"/>
        </w:rPr>
        <w:t xml:space="preserve">Sur la base de données de faible qualité, </w:t>
      </w:r>
      <w:r>
        <w:rPr>
          <w:rFonts w:ascii="Arial" w:hAnsi="Arial" w:cs="Arial"/>
          <w:color w:val="222222"/>
          <w:sz w:val="22"/>
          <w:szCs w:val="22"/>
        </w:rPr>
        <w:t xml:space="preserve">les auteurs </w:t>
      </w:r>
      <w:r w:rsidR="00AB2D8C">
        <w:rPr>
          <w:rFonts w:ascii="Arial" w:hAnsi="Arial" w:cs="Arial"/>
          <w:color w:val="222222"/>
          <w:sz w:val="22"/>
          <w:szCs w:val="22"/>
        </w:rPr>
        <w:t xml:space="preserve">ont </w:t>
      </w:r>
      <w:r>
        <w:rPr>
          <w:rFonts w:ascii="Arial" w:hAnsi="Arial" w:cs="Arial"/>
          <w:color w:val="222222"/>
          <w:sz w:val="22"/>
          <w:szCs w:val="22"/>
        </w:rPr>
        <w:t xml:space="preserve">conclu que </w:t>
      </w:r>
      <w:r w:rsidRPr="00F243EC">
        <w:rPr>
          <w:rFonts w:ascii="Arial" w:hAnsi="Arial" w:cs="Arial"/>
          <w:color w:val="222222"/>
          <w:sz w:val="22"/>
          <w:szCs w:val="22"/>
        </w:rPr>
        <w:t xml:space="preserve">les bénéfices analgésiques observés avec la méthadone </w:t>
      </w:r>
      <w:r w:rsidR="00313FA7">
        <w:rPr>
          <w:rFonts w:ascii="Arial" w:hAnsi="Arial" w:cs="Arial"/>
          <w:color w:val="222222"/>
          <w:sz w:val="22"/>
          <w:szCs w:val="22"/>
        </w:rPr>
        <w:t>étaient</w:t>
      </w:r>
      <w:r w:rsidRPr="00F243EC">
        <w:rPr>
          <w:rFonts w:ascii="Arial" w:hAnsi="Arial" w:cs="Arial"/>
          <w:color w:val="222222"/>
          <w:sz w:val="22"/>
          <w:szCs w:val="22"/>
        </w:rPr>
        <w:t xml:space="preserve"> </w:t>
      </w:r>
      <w:r w:rsidR="00AB2D8C">
        <w:rPr>
          <w:rFonts w:ascii="Arial" w:hAnsi="Arial" w:cs="Arial"/>
          <w:color w:val="222222"/>
          <w:sz w:val="22"/>
          <w:szCs w:val="22"/>
        </w:rPr>
        <w:t>semblables</w:t>
      </w:r>
      <w:r w:rsidRPr="00F243EC">
        <w:rPr>
          <w:rFonts w:ascii="Arial" w:hAnsi="Arial" w:cs="Arial"/>
          <w:color w:val="222222"/>
          <w:sz w:val="22"/>
          <w:szCs w:val="22"/>
        </w:rPr>
        <w:t xml:space="preserve"> à ceux apportés </w:t>
      </w:r>
      <w:r w:rsidR="00AB2D8C">
        <w:rPr>
          <w:rFonts w:ascii="Arial" w:hAnsi="Arial" w:cs="Arial"/>
          <w:color w:val="222222"/>
          <w:sz w:val="22"/>
          <w:szCs w:val="22"/>
        </w:rPr>
        <w:t>par</w:t>
      </w:r>
      <w:r w:rsidRPr="00F243EC">
        <w:rPr>
          <w:rFonts w:ascii="Arial" w:hAnsi="Arial" w:cs="Arial"/>
          <w:color w:val="222222"/>
          <w:sz w:val="22"/>
          <w:szCs w:val="22"/>
        </w:rPr>
        <w:t xml:space="preserve"> la morphine</w:t>
      </w:r>
      <w:r w:rsidR="008E5230">
        <w:rPr>
          <w:rFonts w:ascii="Arial" w:hAnsi="Arial" w:cs="Arial"/>
          <w:color w:val="222222"/>
          <w:sz w:val="22"/>
          <w:szCs w:val="22"/>
        </w:rPr>
        <w:t xml:space="preserve"> et que le</w:t>
      </w:r>
      <w:r w:rsidR="00C77AE4">
        <w:rPr>
          <w:rFonts w:ascii="Arial" w:hAnsi="Arial" w:cs="Arial"/>
          <w:color w:val="222222"/>
          <w:sz w:val="22"/>
          <w:szCs w:val="22"/>
        </w:rPr>
        <w:t xml:space="preserve"> médicament pouvait</w:t>
      </w:r>
      <w:r w:rsidRPr="00F243EC">
        <w:rPr>
          <w:rFonts w:ascii="Arial" w:hAnsi="Arial" w:cs="Arial"/>
          <w:color w:val="222222"/>
          <w:sz w:val="22"/>
          <w:szCs w:val="22"/>
        </w:rPr>
        <w:t xml:space="preserve"> jouer un rôle dans la prise en charge des patients adultes ayant des douleurs d’origine cancéreuse</w:t>
      </w:r>
      <w:r w:rsidR="00FE66F6">
        <w:rPr>
          <w:rFonts w:ascii="Arial" w:hAnsi="Arial" w:cs="Arial"/>
          <w:color w:val="222222"/>
          <w:sz w:val="22"/>
          <w:szCs w:val="22"/>
        </w:rPr>
        <w:t>.</w:t>
      </w:r>
      <w:r w:rsidR="00797915" w:rsidRPr="00C70530">
        <w:rPr>
          <w:rStyle w:val="Appelnotedebasdep"/>
          <w:rFonts w:cs="Arial"/>
          <w:bCs/>
          <w:iCs/>
          <w:szCs w:val="22"/>
        </w:rPr>
        <w:footnoteReference w:id="15"/>
      </w:r>
      <w:r w:rsidRPr="00F243EC">
        <w:rPr>
          <w:rFonts w:ascii="Arial" w:hAnsi="Arial" w:cs="Arial"/>
          <w:color w:val="222222"/>
          <w:sz w:val="22"/>
          <w:szCs w:val="22"/>
        </w:rPr>
        <w:t xml:space="preserve"> </w:t>
      </w:r>
    </w:p>
    <w:p w14:paraId="68D2857E" w14:textId="77777777" w:rsidR="008E5230" w:rsidRDefault="008E5230" w:rsidP="00EB7A56">
      <w:pPr>
        <w:pStyle w:val="PrformatHTML"/>
        <w:jc w:val="both"/>
        <w:rPr>
          <w:rFonts w:ascii="Arial" w:hAnsi="Arial" w:cs="Arial"/>
          <w:sz w:val="22"/>
          <w:szCs w:val="22"/>
        </w:rPr>
      </w:pPr>
    </w:p>
    <w:p w14:paraId="31733BD0" w14:textId="3FBAD87F" w:rsidR="00EB7A56" w:rsidRPr="0034440E" w:rsidRDefault="00EB7A56" w:rsidP="00EB7A56">
      <w:pPr>
        <w:pStyle w:val="PrformatHTML"/>
        <w:jc w:val="both"/>
        <w:rPr>
          <w:rFonts w:ascii="Arial" w:hAnsi="Arial" w:cs="Arial"/>
          <w:b/>
          <w:bCs/>
          <w:color w:val="FF0000"/>
          <w:sz w:val="22"/>
          <w:szCs w:val="22"/>
        </w:rPr>
      </w:pPr>
      <w:r w:rsidRPr="00CB623C">
        <w:rPr>
          <w:rFonts w:ascii="Arial" w:hAnsi="Arial" w:cs="Arial"/>
          <w:sz w:val="22"/>
          <w:szCs w:val="22"/>
        </w:rPr>
        <w:t xml:space="preserve">Les </w:t>
      </w:r>
      <w:r w:rsidR="00742EA7" w:rsidRPr="00CB623C">
        <w:rPr>
          <w:rFonts w:ascii="Arial" w:hAnsi="Arial" w:cs="Arial"/>
          <w:sz w:val="22"/>
          <w:szCs w:val="22"/>
        </w:rPr>
        <w:t xml:space="preserve">données des </w:t>
      </w:r>
      <w:r w:rsidRPr="00CB623C">
        <w:rPr>
          <w:rFonts w:ascii="Arial" w:hAnsi="Arial" w:cs="Arial"/>
          <w:sz w:val="22"/>
          <w:szCs w:val="22"/>
        </w:rPr>
        <w:t xml:space="preserve">études </w:t>
      </w:r>
      <w:r w:rsidR="007B5D8E" w:rsidRPr="00CB623C">
        <w:rPr>
          <w:rFonts w:ascii="Arial" w:hAnsi="Arial" w:cs="Arial"/>
          <w:sz w:val="22"/>
          <w:szCs w:val="22"/>
        </w:rPr>
        <w:t xml:space="preserve">évaluant </w:t>
      </w:r>
      <w:r w:rsidRPr="00CB623C">
        <w:rPr>
          <w:rFonts w:ascii="Arial" w:hAnsi="Arial" w:cs="Arial"/>
          <w:sz w:val="22"/>
          <w:szCs w:val="22"/>
        </w:rPr>
        <w:t xml:space="preserve">les </w:t>
      </w:r>
      <w:r w:rsidR="007B5D8E" w:rsidRPr="00CB623C">
        <w:rPr>
          <w:rFonts w:ascii="Arial" w:hAnsi="Arial" w:cs="Arial"/>
          <w:sz w:val="22"/>
          <w:szCs w:val="22"/>
        </w:rPr>
        <w:t xml:space="preserve">différentes </w:t>
      </w:r>
      <w:r w:rsidRPr="00CB623C">
        <w:rPr>
          <w:rFonts w:ascii="Arial" w:hAnsi="Arial" w:cs="Arial"/>
          <w:sz w:val="22"/>
          <w:szCs w:val="22"/>
        </w:rPr>
        <w:t xml:space="preserve">méthodes de conversion des opioïdes </w:t>
      </w:r>
      <w:r w:rsidR="0034440E" w:rsidRPr="00CB623C">
        <w:rPr>
          <w:rFonts w:ascii="Arial" w:hAnsi="Arial" w:cs="Arial"/>
          <w:sz w:val="22"/>
          <w:szCs w:val="22"/>
        </w:rPr>
        <w:t xml:space="preserve">dans les douleurs d’origine cancéreuse </w:t>
      </w:r>
      <w:r w:rsidRPr="00CB623C">
        <w:rPr>
          <w:rFonts w:ascii="Arial" w:hAnsi="Arial" w:cs="Arial"/>
          <w:sz w:val="22"/>
          <w:szCs w:val="22"/>
        </w:rPr>
        <w:t xml:space="preserve">faisant </w:t>
      </w:r>
      <w:r w:rsidRPr="00902060">
        <w:rPr>
          <w:rFonts w:ascii="Arial" w:hAnsi="Arial" w:cs="Arial"/>
          <w:color w:val="000000" w:themeColor="text1"/>
          <w:sz w:val="22"/>
          <w:szCs w:val="22"/>
        </w:rPr>
        <w:t xml:space="preserve">appel à la méthadone </w:t>
      </w:r>
      <w:r w:rsidR="005B622D">
        <w:rPr>
          <w:rFonts w:ascii="Arial" w:hAnsi="Arial" w:cs="Arial"/>
          <w:color w:val="000000" w:themeColor="text1"/>
          <w:sz w:val="22"/>
          <w:szCs w:val="22"/>
        </w:rPr>
        <w:t>plaident en faveur</w:t>
      </w:r>
      <w:r w:rsidR="00B0675C">
        <w:rPr>
          <w:rFonts w:ascii="Arial" w:hAnsi="Arial" w:cs="Arial"/>
          <w:color w:val="000000" w:themeColor="text1"/>
          <w:sz w:val="22"/>
          <w:szCs w:val="22"/>
        </w:rPr>
        <w:t xml:space="preserve"> de l’efficacité antalgique de la méthadone</w:t>
      </w:r>
      <w:r w:rsidR="00742EA7" w:rsidRPr="00902060">
        <w:rPr>
          <w:rFonts w:ascii="Arial" w:hAnsi="Arial" w:cs="Arial"/>
          <w:color w:val="000000" w:themeColor="text1"/>
          <w:sz w:val="22"/>
          <w:szCs w:val="22"/>
        </w:rPr>
        <w:t xml:space="preserve"> </w:t>
      </w:r>
      <w:r w:rsidR="00742EA7" w:rsidRPr="009B4835">
        <w:rPr>
          <w:rFonts w:ascii="Arial" w:hAnsi="Arial" w:cs="Arial"/>
          <w:sz w:val="22"/>
          <w:szCs w:val="22"/>
        </w:rPr>
        <w:t xml:space="preserve">mais </w:t>
      </w:r>
      <w:r w:rsidRPr="009B4835">
        <w:rPr>
          <w:rFonts w:ascii="Arial" w:hAnsi="Arial" w:cs="Arial"/>
          <w:sz w:val="22"/>
          <w:szCs w:val="22"/>
        </w:rPr>
        <w:t xml:space="preserve">ont </w:t>
      </w:r>
      <w:r w:rsidR="009B4835" w:rsidRPr="009B4835">
        <w:rPr>
          <w:rFonts w:ascii="Arial" w:hAnsi="Arial" w:cs="Arial"/>
          <w:sz w:val="22"/>
          <w:szCs w:val="22"/>
        </w:rPr>
        <w:t>montré</w:t>
      </w:r>
      <w:r w:rsidRPr="009B4835">
        <w:rPr>
          <w:rFonts w:ascii="Arial" w:hAnsi="Arial" w:cs="Arial"/>
          <w:sz w:val="22"/>
          <w:szCs w:val="22"/>
        </w:rPr>
        <w:t xml:space="preserve"> une </w:t>
      </w:r>
      <w:r w:rsidRPr="0034440E">
        <w:rPr>
          <w:rFonts w:ascii="Arial" w:hAnsi="Arial" w:cs="Arial"/>
          <w:color w:val="000000" w:themeColor="text1"/>
          <w:sz w:val="22"/>
          <w:szCs w:val="22"/>
        </w:rPr>
        <w:t>hétérogénéité en termes de ratios d'opioïdes et de modalités de rotation.</w:t>
      </w:r>
      <w:r w:rsidR="00742EA7" w:rsidRPr="0034440E">
        <w:rPr>
          <w:rFonts w:ascii="Arial" w:hAnsi="Arial" w:cs="Arial"/>
          <w:color w:val="000000" w:themeColor="text1"/>
          <w:sz w:val="22"/>
          <w:szCs w:val="22"/>
        </w:rPr>
        <w:t xml:space="preserve"> </w:t>
      </w:r>
    </w:p>
    <w:p w14:paraId="306FE276" w14:textId="3667E37A" w:rsidR="00B46D6F" w:rsidRPr="00105F86" w:rsidRDefault="00B46D6F" w:rsidP="00B46D6F">
      <w:pPr>
        <w:autoSpaceDE w:val="0"/>
        <w:autoSpaceDN w:val="0"/>
        <w:adjustRightInd w:val="0"/>
        <w:rPr>
          <w:rFonts w:cs="Arial"/>
          <w:color w:val="222222"/>
          <w:szCs w:val="22"/>
        </w:rPr>
      </w:pPr>
      <w:r w:rsidRPr="00E858B6">
        <w:rPr>
          <w:rFonts w:cs="Arial"/>
        </w:rPr>
        <w:t>Une revue de la littérature</w:t>
      </w:r>
      <w:r w:rsidRPr="00E858B6">
        <w:rPr>
          <w:rStyle w:val="Appelnotedebasdep"/>
          <w:rFonts w:cs="Arial"/>
          <w:szCs w:val="22"/>
        </w:rPr>
        <w:footnoteReference w:id="16"/>
      </w:r>
      <w:r w:rsidRPr="00E858B6">
        <w:rPr>
          <w:rFonts w:cs="Arial"/>
        </w:rPr>
        <w:t xml:space="preserve"> sur les ratios de conversion des opioïde</w:t>
      </w:r>
      <w:r>
        <w:rPr>
          <w:rFonts w:cs="Arial"/>
        </w:rPr>
        <w:t>s</w:t>
      </w:r>
      <w:r w:rsidRPr="00E858B6">
        <w:rPr>
          <w:rFonts w:cs="Arial"/>
        </w:rPr>
        <w:t xml:space="preserve"> dans le traitement des douleurs d’origine cancéreuse a étudié le ratio de conversion méthadone orale/morphine orale à partir d’une vingtaine d’études publiées et n’a pas permis d’établir un ratio de conversion entre morphine et méthadone. La valeur de ce ratio est très variable et semble dépendre de plusieurs facteurs notamment la</w:t>
      </w:r>
      <w:r>
        <w:rPr>
          <w:rFonts w:cs="Arial"/>
        </w:rPr>
        <w:t xml:space="preserve"> dose de morphine antérieure,</w:t>
      </w:r>
      <w:r w:rsidRPr="00E858B6">
        <w:rPr>
          <w:rFonts w:cs="Arial"/>
        </w:rPr>
        <w:t xml:space="preserve"> la raison du changement et du sens dans lequel est effectué ce changement (Morphine vers Méthadone, ou Méthadone vers Morphine).</w:t>
      </w:r>
      <w:r>
        <w:rPr>
          <w:rFonts w:cs="Arial"/>
        </w:rPr>
        <w:t xml:space="preserve"> </w:t>
      </w:r>
      <w:r w:rsidRPr="00F05D8F">
        <w:rPr>
          <w:rFonts w:cs="Arial"/>
          <w:color w:val="222222"/>
          <w:szCs w:val="22"/>
        </w:rPr>
        <w:t>Bien que l’utilisation de</w:t>
      </w:r>
      <w:r>
        <w:rPr>
          <w:rFonts w:cs="Arial"/>
          <w:color w:val="222222"/>
          <w:szCs w:val="22"/>
        </w:rPr>
        <w:t>s tables d</w:t>
      </w:r>
      <w:r w:rsidRPr="00F05D8F">
        <w:rPr>
          <w:rFonts w:cs="Arial"/>
          <w:color w:val="222222"/>
          <w:szCs w:val="22"/>
        </w:rPr>
        <w:t>’équianalgésie</w:t>
      </w:r>
      <w:r>
        <w:rPr>
          <w:rFonts w:cs="Arial"/>
          <w:color w:val="222222"/>
          <w:szCs w:val="22"/>
        </w:rPr>
        <w:t xml:space="preserve"> soit recommandée</w:t>
      </w:r>
      <w:r w:rsidRPr="00DE705E">
        <w:rPr>
          <w:rFonts w:cs="Arial"/>
          <w:color w:val="222222"/>
          <w:szCs w:val="22"/>
        </w:rPr>
        <w:t>, le praticien doit être conscient des limites de cette approche et peut décider des alternatives possibles sur la base des dernières données</w:t>
      </w:r>
      <w:r>
        <w:rPr>
          <w:rFonts w:cs="Arial"/>
          <w:color w:val="222222"/>
          <w:szCs w:val="22"/>
        </w:rPr>
        <w:t>.</w:t>
      </w:r>
      <w:r w:rsidRPr="00C70530">
        <w:rPr>
          <w:rStyle w:val="Appelnotedebasdep"/>
          <w:rFonts w:cs="Arial"/>
          <w:bCs/>
          <w:iCs/>
          <w:szCs w:val="22"/>
        </w:rPr>
        <w:footnoteReference w:id="17"/>
      </w:r>
    </w:p>
    <w:p w14:paraId="2AF26741" w14:textId="77777777" w:rsidR="00B46D6F" w:rsidRDefault="00B46D6F" w:rsidP="00482BCA">
      <w:pPr>
        <w:rPr>
          <w:rFonts w:cs="Arial"/>
          <w:szCs w:val="22"/>
        </w:rPr>
      </w:pPr>
    </w:p>
    <w:p w14:paraId="78E3CE86" w14:textId="5D8FE357" w:rsidR="0071667B" w:rsidRDefault="00496B40" w:rsidP="0071667B">
      <w:r>
        <w:rPr>
          <w:rFonts w:cs="Arial"/>
          <w:szCs w:val="22"/>
        </w:rPr>
        <w:t>L’</w:t>
      </w:r>
      <w:r w:rsidR="00EB7A56">
        <w:rPr>
          <w:rFonts w:cs="Arial"/>
          <w:szCs w:val="22"/>
        </w:rPr>
        <w:t xml:space="preserve">étude </w:t>
      </w:r>
      <w:r w:rsidR="00EB7A56" w:rsidRPr="00F824C5">
        <w:rPr>
          <w:rFonts w:cs="Arial"/>
          <w:szCs w:val="22"/>
        </w:rPr>
        <w:t xml:space="preserve">EQUIMETH2 </w:t>
      </w:r>
      <w:r w:rsidR="00EB7A56" w:rsidRPr="00482BCA">
        <w:rPr>
          <w:rFonts w:cs="Arial"/>
          <w:szCs w:val="22"/>
        </w:rPr>
        <w:t xml:space="preserve">de </w:t>
      </w:r>
      <w:r w:rsidR="00EB7A56">
        <w:rPr>
          <w:rFonts w:cs="Arial"/>
          <w:szCs w:val="22"/>
        </w:rPr>
        <w:t>supériorité</w:t>
      </w:r>
      <w:r w:rsidR="00EB7A56" w:rsidRPr="00482BCA">
        <w:rPr>
          <w:rFonts w:cs="Arial"/>
          <w:szCs w:val="22"/>
        </w:rPr>
        <w:t xml:space="preserve">, </w:t>
      </w:r>
      <w:r w:rsidR="00EB7A56">
        <w:rPr>
          <w:rFonts w:cs="Arial"/>
          <w:szCs w:val="22"/>
        </w:rPr>
        <w:t>ouverte</w:t>
      </w:r>
      <w:r w:rsidR="00FE66F6">
        <w:rPr>
          <w:rFonts w:cs="Arial"/>
          <w:szCs w:val="22"/>
        </w:rPr>
        <w:t>,</w:t>
      </w:r>
      <w:r>
        <w:rPr>
          <w:rFonts w:cs="Arial"/>
          <w:szCs w:val="22"/>
        </w:rPr>
        <w:t xml:space="preserve"> </w:t>
      </w:r>
      <w:r w:rsidR="00450AD5" w:rsidRPr="00F824C5">
        <w:rPr>
          <w:rFonts w:cs="Arial"/>
          <w:szCs w:val="22"/>
        </w:rPr>
        <w:t>a</w:t>
      </w:r>
      <w:r w:rsidR="00450AD5">
        <w:rPr>
          <w:rFonts w:cs="Arial"/>
          <w:szCs w:val="22"/>
        </w:rPr>
        <w:t xml:space="preserve"> </w:t>
      </w:r>
      <w:r w:rsidR="00450AD5" w:rsidRPr="00482BCA">
        <w:rPr>
          <w:rFonts w:cs="Arial"/>
          <w:szCs w:val="22"/>
        </w:rPr>
        <w:t xml:space="preserve">évalué </w:t>
      </w:r>
      <w:r w:rsidR="00E0063E">
        <w:rPr>
          <w:rFonts w:cs="Arial"/>
          <w:szCs w:val="22"/>
        </w:rPr>
        <w:t>deux</w:t>
      </w:r>
      <w:r>
        <w:rPr>
          <w:rFonts w:cs="Arial"/>
          <w:szCs w:val="22"/>
        </w:rPr>
        <w:t xml:space="preserve"> protocoles de titration de la méthadone</w:t>
      </w:r>
      <w:r w:rsidR="00EB7A56">
        <w:rPr>
          <w:rFonts w:cs="Arial"/>
          <w:szCs w:val="22"/>
        </w:rPr>
        <w:t xml:space="preserve"> dans le cadre d’une rotation</w:t>
      </w:r>
      <w:r w:rsidR="00482BCA" w:rsidRPr="00482BCA">
        <w:rPr>
          <w:rFonts w:cs="Arial"/>
          <w:szCs w:val="22"/>
        </w:rPr>
        <w:t xml:space="preserve"> </w:t>
      </w:r>
      <w:r w:rsidR="00EB7A56">
        <w:rPr>
          <w:rFonts w:cs="Arial"/>
          <w:szCs w:val="22"/>
        </w:rPr>
        <w:t>d’opioïde chez des patients ayant des douleu</w:t>
      </w:r>
      <w:r w:rsidR="00815DC9">
        <w:rPr>
          <w:rFonts w:cs="Arial"/>
          <w:szCs w:val="22"/>
        </w:rPr>
        <w:t>r</w:t>
      </w:r>
      <w:r w:rsidR="00EB7A56">
        <w:rPr>
          <w:rFonts w:cs="Arial"/>
          <w:szCs w:val="22"/>
        </w:rPr>
        <w:t>s d’origine cancéreuse.</w:t>
      </w:r>
      <w:r>
        <w:rPr>
          <w:rFonts w:cs="Arial"/>
          <w:bCs/>
          <w:iCs/>
          <w:szCs w:val="22"/>
        </w:rPr>
        <w:t xml:space="preserve"> </w:t>
      </w:r>
      <w:r w:rsidR="00482BCA" w:rsidRPr="00482BCA">
        <w:rPr>
          <w:rFonts w:cs="Arial"/>
          <w:szCs w:val="22"/>
        </w:rPr>
        <w:t xml:space="preserve">Le succès </w:t>
      </w:r>
      <w:r w:rsidR="00EB7A56">
        <w:rPr>
          <w:rFonts w:cs="Arial"/>
          <w:szCs w:val="22"/>
        </w:rPr>
        <w:t xml:space="preserve">du changement d’opioïde vers la méthadone à J4 </w:t>
      </w:r>
      <w:r>
        <w:rPr>
          <w:rFonts w:cs="Arial"/>
          <w:szCs w:val="22"/>
        </w:rPr>
        <w:t xml:space="preserve">(critère de jugement principal) </w:t>
      </w:r>
      <w:r w:rsidR="00482BCA" w:rsidRPr="00482BCA">
        <w:rPr>
          <w:rFonts w:cs="Arial"/>
          <w:szCs w:val="22"/>
        </w:rPr>
        <w:t>était défini selon un critère binaire incluant un soulagement adéquat de la douleur et une absence de surdosage.</w:t>
      </w:r>
      <w:r>
        <w:rPr>
          <w:rFonts w:cs="Arial"/>
          <w:bCs/>
          <w:iCs/>
          <w:szCs w:val="22"/>
        </w:rPr>
        <w:t xml:space="preserve"> </w:t>
      </w:r>
      <w:r>
        <w:rPr>
          <w:rFonts w:cs="Arial"/>
          <w:szCs w:val="22"/>
        </w:rPr>
        <w:t>A</w:t>
      </w:r>
      <w:r w:rsidR="00482BCA" w:rsidRPr="00482BCA">
        <w:rPr>
          <w:rFonts w:cs="Arial"/>
          <w:szCs w:val="22"/>
        </w:rPr>
        <w:t>ucune différence statistique n’a été mise en évidence entre les deux méthodes d’</w:t>
      </w:r>
      <w:r w:rsidR="00A5354B">
        <w:rPr>
          <w:rFonts w:cs="Arial"/>
          <w:szCs w:val="22"/>
        </w:rPr>
        <w:t xml:space="preserve">instauration du traitement </w:t>
      </w:r>
      <w:r w:rsidR="00CE6368">
        <w:rPr>
          <w:rFonts w:cs="Arial"/>
          <w:szCs w:val="22"/>
        </w:rPr>
        <w:t>avec un pourcentage de succès d’environ 40%.</w:t>
      </w:r>
      <w:r w:rsidR="0071667B" w:rsidRPr="0071667B">
        <w:rPr>
          <w:rFonts w:cs="Arial"/>
          <w:color w:val="000000" w:themeColor="text1"/>
          <w:szCs w:val="22"/>
        </w:rPr>
        <w:t xml:space="preserve"> </w:t>
      </w:r>
      <w:r w:rsidR="0071667B">
        <w:rPr>
          <w:rFonts w:cs="Arial"/>
          <w:color w:val="000000" w:themeColor="text1"/>
          <w:szCs w:val="22"/>
        </w:rPr>
        <w:t>Ces d</w:t>
      </w:r>
      <w:r w:rsidR="0071667B" w:rsidRPr="00212195">
        <w:rPr>
          <w:rFonts w:cs="Arial"/>
          <w:color w:val="000000" w:themeColor="text1"/>
          <w:szCs w:val="22"/>
        </w:rPr>
        <w:t>eux protocoles d’instauration du traitement sont mentionnés</w:t>
      </w:r>
      <w:r w:rsidR="0071667B">
        <w:rPr>
          <w:rFonts w:cs="Arial"/>
          <w:color w:val="000000" w:themeColor="text1"/>
          <w:szCs w:val="22"/>
        </w:rPr>
        <w:t>,</w:t>
      </w:r>
      <w:r w:rsidR="0071667B" w:rsidRPr="00212195">
        <w:rPr>
          <w:rFonts w:cs="Arial"/>
          <w:color w:val="000000" w:themeColor="text1"/>
          <w:szCs w:val="22"/>
        </w:rPr>
        <w:t xml:space="preserve"> à titre indicatif</w:t>
      </w:r>
      <w:r w:rsidR="0071667B">
        <w:rPr>
          <w:rFonts w:cs="Arial"/>
          <w:color w:val="000000" w:themeColor="text1"/>
          <w:szCs w:val="22"/>
        </w:rPr>
        <w:t>,</w:t>
      </w:r>
      <w:r w:rsidR="0071667B" w:rsidRPr="00212195">
        <w:rPr>
          <w:rFonts w:cs="Arial"/>
          <w:color w:val="000000" w:themeColor="text1"/>
          <w:szCs w:val="22"/>
        </w:rPr>
        <w:t xml:space="preserve"> dans le chapitre Pharmacodynamie du RCP</w:t>
      </w:r>
      <w:r w:rsidR="0071667B">
        <w:rPr>
          <w:rFonts w:cs="Arial"/>
          <w:color w:val="000000" w:themeColor="text1"/>
          <w:szCs w:val="22"/>
        </w:rPr>
        <w:t xml:space="preserve"> ; </w:t>
      </w:r>
      <w:r w:rsidR="00E1253B">
        <w:t xml:space="preserve">des protocoles alternatifs peuvent être utilisés. </w:t>
      </w:r>
    </w:p>
    <w:p w14:paraId="371886FA" w14:textId="77777777" w:rsidR="00FB7CB6" w:rsidRDefault="00FB7CB6" w:rsidP="002B39FD"/>
    <w:p w14:paraId="4BE3E948" w14:textId="6D789D42" w:rsidR="002B39FD" w:rsidRPr="002B39FD" w:rsidRDefault="002B39FD" w:rsidP="002B39FD">
      <w:r>
        <w:t>Le dossier déposé par le laboratoire ne comporte pas d’étude d’efficacité contrôlée versus</w:t>
      </w:r>
      <w:r w:rsidR="00FB7CB6">
        <w:t xml:space="preserve"> </w:t>
      </w:r>
      <w:r>
        <w:t xml:space="preserve">comparateur actif, réalisée dans le cadre d’une rotation d’opioïde. </w:t>
      </w:r>
    </w:p>
    <w:p w14:paraId="01794AB9" w14:textId="77777777" w:rsidR="002B39FD" w:rsidRPr="00216E7B" w:rsidRDefault="002B39FD" w:rsidP="002B39FD">
      <w:pPr>
        <w:rPr>
          <w:bCs/>
          <w:color w:val="000000" w:themeColor="text1"/>
        </w:rPr>
      </w:pPr>
      <w:r w:rsidRPr="00216E7B">
        <w:rPr>
          <w:bCs/>
          <w:color w:val="000000" w:themeColor="text1"/>
        </w:rPr>
        <w:t>Aucune donnée clinique n’a été versée au dossier concernant les patients âgés de 15 à 18 ans susceptibles de recevoir le traitement.</w:t>
      </w:r>
    </w:p>
    <w:p w14:paraId="6287A393" w14:textId="77777777" w:rsidR="002B39FD" w:rsidRDefault="002B39FD" w:rsidP="00286161"/>
    <w:p w14:paraId="69D07033" w14:textId="25344D56" w:rsidR="00286161" w:rsidRDefault="00286161" w:rsidP="00286161">
      <w:pPr>
        <w:rPr>
          <w:rFonts w:cs="Arial"/>
          <w:szCs w:val="22"/>
        </w:rPr>
      </w:pPr>
      <w:r w:rsidRPr="00CF709A">
        <w:t>Les risques majeurs d</w:t>
      </w:r>
      <w:r w:rsidR="00815DC9">
        <w:t xml:space="preserve">’un traitement par </w:t>
      </w:r>
      <w:r w:rsidRPr="00CF709A">
        <w:t>ZORYON sont la dépression respiratoire et les troubles du système nerveux central (somnolence</w:t>
      </w:r>
      <w:r>
        <w:t>, confusion, etc.). Bien que ces risques puissent survenir avec tout opioïde, la probabilité de survenue est élevée et maximale quelques jours après l’instauration du traitement pour la méthadone. Ces risques peuvent également être augmentés par les traitements concomitants (cf. interactions médicamenteuses)</w:t>
      </w:r>
      <w:r>
        <w:rPr>
          <w:rFonts w:cs="Arial"/>
          <w:szCs w:val="22"/>
        </w:rPr>
        <w:t>.</w:t>
      </w:r>
      <w:r w:rsidR="00F243EC" w:rsidRPr="00F243EC">
        <w:rPr>
          <w:rFonts w:cs="Arial"/>
          <w:szCs w:val="22"/>
        </w:rPr>
        <w:t xml:space="preserve"> </w:t>
      </w:r>
      <w:r w:rsidR="00F243EC">
        <w:rPr>
          <w:rFonts w:cs="Arial"/>
          <w:szCs w:val="22"/>
        </w:rPr>
        <w:t>L</w:t>
      </w:r>
      <w:r w:rsidR="00F243EC" w:rsidRPr="00CF709A">
        <w:rPr>
          <w:rFonts w:cs="Arial"/>
          <w:szCs w:val="22"/>
        </w:rPr>
        <w:t>e traitement doit être administré avec</w:t>
      </w:r>
      <w:r w:rsidR="00F243EC" w:rsidRPr="009201DB">
        <w:rPr>
          <w:rFonts w:cs="Arial"/>
          <w:szCs w:val="22"/>
        </w:rPr>
        <w:t xml:space="preserve"> prudence, sous surveillance clinique, électrolytique et ECG</w:t>
      </w:r>
      <w:r w:rsidR="00FE66F6">
        <w:rPr>
          <w:rFonts w:cs="Arial"/>
          <w:szCs w:val="22"/>
        </w:rPr>
        <w:t>,</w:t>
      </w:r>
      <w:r w:rsidR="00F243EC">
        <w:rPr>
          <w:rFonts w:cs="Arial"/>
          <w:szCs w:val="22"/>
        </w:rPr>
        <w:t xml:space="preserve"> c</w:t>
      </w:r>
      <w:r w:rsidRPr="00CF709A">
        <w:rPr>
          <w:rFonts w:cs="Arial"/>
          <w:szCs w:val="22"/>
        </w:rPr>
        <w:t>ompte tenu des cas d’allongement de l’intervalle QT et de torsades de pointe rapportés au cours d</w:t>
      </w:r>
      <w:r w:rsidR="00F243EC">
        <w:rPr>
          <w:rFonts w:cs="Arial"/>
          <w:szCs w:val="22"/>
        </w:rPr>
        <w:t>u</w:t>
      </w:r>
      <w:r w:rsidRPr="00CF709A">
        <w:rPr>
          <w:rFonts w:cs="Arial"/>
          <w:szCs w:val="22"/>
        </w:rPr>
        <w:t xml:space="preserve"> traitement</w:t>
      </w:r>
      <w:r w:rsidR="00F243EC">
        <w:rPr>
          <w:rFonts w:cs="Arial"/>
          <w:szCs w:val="22"/>
        </w:rPr>
        <w:t>.</w:t>
      </w:r>
      <w:r w:rsidRPr="00CF709A">
        <w:rPr>
          <w:rFonts w:cs="Arial"/>
          <w:szCs w:val="22"/>
        </w:rPr>
        <w:t xml:space="preserve"> </w:t>
      </w:r>
    </w:p>
    <w:p w14:paraId="5DBF6E72" w14:textId="6B2A5120" w:rsidR="00450AD5" w:rsidRDefault="00450AD5" w:rsidP="00450AD5">
      <w:pPr>
        <w:rPr>
          <w:bCs/>
          <w:color w:val="000000" w:themeColor="text1"/>
        </w:rPr>
      </w:pPr>
    </w:p>
    <w:p w14:paraId="29CC9995" w14:textId="33E469BB" w:rsidR="00AB2D8C" w:rsidRPr="00E64D1A" w:rsidRDefault="00AB2D8C" w:rsidP="00AB2D8C">
      <w:r w:rsidRPr="00E64D1A">
        <w:rPr>
          <w:rFonts w:cs="Arial"/>
          <w:szCs w:val="22"/>
        </w:rPr>
        <w:t xml:space="preserve">Compte tenu des données </w:t>
      </w:r>
      <w:r w:rsidR="00E64D1A">
        <w:rPr>
          <w:rFonts w:cs="Arial"/>
          <w:szCs w:val="22"/>
        </w:rPr>
        <w:t xml:space="preserve">cliniques </w:t>
      </w:r>
      <w:r w:rsidRPr="00E64D1A">
        <w:rPr>
          <w:rFonts w:cs="Arial"/>
          <w:szCs w:val="22"/>
        </w:rPr>
        <w:t>d’efficacité et de tolérance</w:t>
      </w:r>
      <w:r w:rsidR="00E64D1A">
        <w:rPr>
          <w:rFonts w:cs="Arial"/>
          <w:szCs w:val="22"/>
        </w:rPr>
        <w:t xml:space="preserve"> de ZORYON</w:t>
      </w:r>
      <w:r w:rsidR="00F51C8A" w:rsidRPr="00E64D1A">
        <w:rPr>
          <w:rFonts w:cs="Arial"/>
          <w:szCs w:val="22"/>
        </w:rPr>
        <w:t>,</w:t>
      </w:r>
      <w:r w:rsidRPr="00E64D1A">
        <w:rPr>
          <w:rFonts w:cs="Arial"/>
          <w:szCs w:val="22"/>
        </w:rPr>
        <w:t xml:space="preserve"> </w:t>
      </w:r>
      <w:r w:rsidRPr="00E64D1A">
        <w:t xml:space="preserve">l’impact supplémentaire sur la morbi-mortalité ou sur la qualité de vie </w:t>
      </w:r>
      <w:r w:rsidR="00F51C8A" w:rsidRPr="00E64D1A">
        <w:t>des patien</w:t>
      </w:r>
      <w:r w:rsidR="00E64D1A">
        <w:t>ts concernés</w:t>
      </w:r>
      <w:r w:rsidR="00F51C8A" w:rsidRPr="00E64D1A">
        <w:t xml:space="preserve"> par l’indication </w:t>
      </w:r>
      <w:r w:rsidR="00E64D1A">
        <w:t xml:space="preserve">du produit </w:t>
      </w:r>
      <w:r w:rsidRPr="00E64D1A">
        <w:t>n’est à ce jour pas démontré</w:t>
      </w:r>
      <w:r w:rsidRPr="00E64D1A">
        <w:rPr>
          <w:rFonts w:cs="Arial"/>
          <w:szCs w:val="22"/>
        </w:rPr>
        <w:t>.</w:t>
      </w:r>
      <w:r w:rsidRPr="00E64D1A">
        <w:rPr>
          <w:rFonts w:cs="Arial"/>
          <w:i/>
          <w:szCs w:val="22"/>
        </w:rPr>
        <w:t xml:space="preserve"> </w:t>
      </w:r>
      <w:r w:rsidRPr="00E64D1A">
        <w:rPr>
          <w:rFonts w:cs="Arial"/>
          <w:szCs w:val="22"/>
        </w:rPr>
        <w:t>En conséquence, ZORYON n’apporte pas</w:t>
      </w:r>
      <w:r w:rsidR="00F51C8A" w:rsidRPr="00E64D1A">
        <w:rPr>
          <w:rFonts w:cs="Arial"/>
          <w:szCs w:val="22"/>
        </w:rPr>
        <w:t xml:space="preserve"> de réponse supplémentaire </w:t>
      </w:r>
      <w:r w:rsidRPr="00E64D1A">
        <w:rPr>
          <w:rFonts w:cs="Arial"/>
          <w:szCs w:val="22"/>
        </w:rPr>
        <w:t>au</w:t>
      </w:r>
      <w:r w:rsidR="00F51C8A" w:rsidRPr="00E64D1A">
        <w:rPr>
          <w:rFonts w:cs="Arial"/>
          <w:szCs w:val="22"/>
        </w:rPr>
        <w:t xml:space="preserve"> besoin de santé médical partiellement </w:t>
      </w:r>
      <w:r w:rsidRPr="00E64D1A">
        <w:rPr>
          <w:rFonts w:cs="Arial"/>
          <w:szCs w:val="22"/>
        </w:rPr>
        <w:t>couvert</w:t>
      </w:r>
      <w:r w:rsidR="00E64D1A">
        <w:rPr>
          <w:rFonts w:cs="Arial"/>
          <w:szCs w:val="22"/>
        </w:rPr>
        <w:t xml:space="preserve"> c</w:t>
      </w:r>
      <w:r w:rsidR="00E64D1A" w:rsidRPr="00E64D1A">
        <w:rPr>
          <w:rFonts w:cs="Arial"/>
          <w:szCs w:val="22"/>
        </w:rPr>
        <w:t xml:space="preserve">hez les patients </w:t>
      </w:r>
      <w:r w:rsidR="00E64D1A" w:rsidRPr="00E64D1A">
        <w:rPr>
          <w:bCs/>
          <w:szCs w:val="22"/>
        </w:rPr>
        <w:t xml:space="preserve">qui ne sont pas soulagés de façon adéquate par d’autres opioïdes de palier </w:t>
      </w:r>
      <w:r w:rsidR="00FD0660">
        <w:rPr>
          <w:bCs/>
          <w:szCs w:val="22"/>
        </w:rPr>
        <w:t>III</w:t>
      </w:r>
      <w:r w:rsidR="00E64D1A" w:rsidRPr="00E64D1A">
        <w:rPr>
          <w:bCs/>
          <w:szCs w:val="22"/>
        </w:rPr>
        <w:t>, en raison d’une efficacité insuffisante et/ou d’effets indésirables excessifs</w:t>
      </w:r>
      <w:r w:rsidR="00E64D1A">
        <w:rPr>
          <w:bCs/>
          <w:szCs w:val="22"/>
        </w:rPr>
        <w:t>.</w:t>
      </w:r>
    </w:p>
    <w:p w14:paraId="654A50EF" w14:textId="77777777" w:rsidR="009C68E1" w:rsidRPr="00C13E96" w:rsidRDefault="009C68E1" w:rsidP="00DA6BD6">
      <w:pPr>
        <w:pStyle w:val="Titre2"/>
      </w:pPr>
      <w:r w:rsidRPr="00C13E96">
        <w:t>Programme d’études</w:t>
      </w:r>
    </w:p>
    <w:p w14:paraId="5E596087" w14:textId="5D3A537E" w:rsidR="00F65A87" w:rsidRDefault="00BC32C4" w:rsidP="00BC32C4">
      <w:pPr>
        <w:rPr>
          <w:rFonts w:cs="Arial"/>
          <w:szCs w:val="22"/>
        </w:rPr>
      </w:pPr>
      <w:r>
        <w:rPr>
          <w:rFonts w:cs="Arial"/>
          <w:szCs w:val="22"/>
        </w:rPr>
        <w:t>Dans le cadre du PGR, l’ANSM a recommandé de m</w:t>
      </w:r>
      <w:r w:rsidRPr="00FF0FF7">
        <w:rPr>
          <w:rFonts w:cs="Arial"/>
          <w:szCs w:val="22"/>
        </w:rPr>
        <w:t>ettre en place une étude de</w:t>
      </w:r>
      <w:r w:rsidR="00761781">
        <w:rPr>
          <w:rFonts w:cs="Arial"/>
          <w:szCs w:val="22"/>
        </w:rPr>
        <w:t xml:space="preserve"> </w:t>
      </w:r>
      <w:r w:rsidR="00761781" w:rsidRPr="00761781">
        <w:rPr>
          <w:rFonts w:cs="Arial"/>
          <w:szCs w:val="22"/>
        </w:rPr>
        <w:t>cohorte prospective évaluant les protocoles de titration utilisés lors de l’instauration d’un traitement par ZORYON, l'efficacité et la tolérance du traitement chez des patients ayant des douleurs d’origine cancéreuse d'intensité modérée à sévère, non soulagés de façon adéquate par d'autres opioïdes de palier III.</w:t>
      </w:r>
    </w:p>
    <w:p w14:paraId="3EC3F9F2" w14:textId="77777777" w:rsidR="00F65A87" w:rsidRDefault="00F65A87" w:rsidP="00BC32C4">
      <w:pPr>
        <w:rPr>
          <w:rFonts w:cs="Arial"/>
          <w:szCs w:val="22"/>
        </w:rPr>
      </w:pPr>
    </w:p>
    <w:p w14:paraId="3D7DF5BC" w14:textId="447B06E3" w:rsidR="00B74629" w:rsidRPr="00AE0AB5" w:rsidRDefault="00DB6571" w:rsidP="00BC32C4">
      <w:pPr>
        <w:rPr>
          <w:rFonts w:cs="Arial"/>
          <w:szCs w:val="22"/>
        </w:rPr>
      </w:pPr>
      <w:r>
        <w:rPr>
          <w:rFonts w:cs="Arial"/>
          <w:szCs w:val="22"/>
        </w:rPr>
        <w:t>Le protocole de cette étude devra être approuvé par l’ANSM</w:t>
      </w:r>
      <w:r w:rsidR="00F65A87">
        <w:rPr>
          <w:rFonts w:cs="Arial"/>
          <w:szCs w:val="22"/>
        </w:rPr>
        <w:t xml:space="preserve"> à la fin de l’année 2019.</w:t>
      </w:r>
    </w:p>
    <w:p w14:paraId="7C70557A" w14:textId="77777777" w:rsidR="00D347E0" w:rsidRDefault="00D347E0" w:rsidP="00BC32C4">
      <w:pPr>
        <w:rPr>
          <w:rFonts w:cs="Arial"/>
          <w:szCs w:val="22"/>
        </w:rPr>
      </w:pPr>
    </w:p>
    <w:p w14:paraId="79005F65" w14:textId="238CAD88" w:rsidR="009C68E1" w:rsidRPr="00F9114A" w:rsidRDefault="007B0039" w:rsidP="00BE30BA">
      <w:pPr>
        <w:pStyle w:val="Titre1"/>
      </w:pPr>
      <w:r w:rsidRPr="00F9114A">
        <w:t>Place dans la s</w:t>
      </w:r>
      <w:r w:rsidR="009C68E1" w:rsidRPr="00F9114A">
        <w:t>tratégie thérapeutique</w:t>
      </w:r>
      <w:r w:rsidR="00803CF5" w:rsidRPr="00CD7D8B">
        <w:rPr>
          <w:rStyle w:val="Appelnotedebasdep"/>
          <w:rFonts w:cs="Arial"/>
          <w:bCs/>
          <w:iCs/>
          <w:szCs w:val="22"/>
        </w:rPr>
        <w:footnoteReference w:id="18"/>
      </w:r>
      <w:r w:rsidR="00CD7D8B" w:rsidRPr="00CD7D8B">
        <w:rPr>
          <w:vertAlign w:val="superscript"/>
        </w:rPr>
        <w:t>,</w:t>
      </w:r>
      <w:r w:rsidR="001611AA" w:rsidRPr="00CB623C">
        <w:rPr>
          <w:rStyle w:val="Appelnotedebasdep"/>
          <w:rFonts w:cs="Arial"/>
          <w:bCs/>
          <w:iCs/>
          <w:szCs w:val="22"/>
        </w:rPr>
        <w:footnoteReference w:id="19"/>
      </w:r>
      <w:r w:rsidR="001611AA" w:rsidRPr="00CD7D8B">
        <w:rPr>
          <w:vertAlign w:val="superscript"/>
        </w:rPr>
        <w:t>,</w:t>
      </w:r>
      <w:r w:rsidR="00CD7D8B" w:rsidRPr="00CD7D8B">
        <w:rPr>
          <w:rStyle w:val="Appelnotedebasdep"/>
          <w:rFonts w:cs="Arial"/>
          <w:bCs/>
          <w:iCs/>
          <w:szCs w:val="22"/>
        </w:rPr>
        <w:footnoteReference w:id="20"/>
      </w:r>
      <w:r w:rsidR="00CD7D8B" w:rsidRPr="00CD7D8B">
        <w:rPr>
          <w:vertAlign w:val="superscript"/>
        </w:rPr>
        <w:t>,</w:t>
      </w:r>
      <w:r w:rsidR="001611AA" w:rsidRPr="00C70530">
        <w:rPr>
          <w:rStyle w:val="Appelnotedebasdep"/>
          <w:rFonts w:cs="Arial"/>
          <w:bCs/>
          <w:iCs/>
          <w:szCs w:val="22"/>
        </w:rPr>
        <w:footnoteReference w:id="21"/>
      </w:r>
    </w:p>
    <w:p w14:paraId="7012E8D8" w14:textId="7DCAB058" w:rsidR="0071144E" w:rsidRDefault="00AC309D" w:rsidP="0071144E">
      <w:pPr>
        <w:rPr>
          <w:rFonts w:cs="Arial"/>
          <w:szCs w:val="22"/>
        </w:rPr>
      </w:pPr>
      <w:r>
        <w:rPr>
          <w:rFonts w:cs="Arial"/>
          <w:bCs/>
          <w:iCs/>
          <w:szCs w:val="22"/>
        </w:rPr>
        <w:t>La méthadone est utilisée</w:t>
      </w:r>
      <w:r w:rsidR="0071144E">
        <w:rPr>
          <w:rFonts w:cs="Arial"/>
          <w:bCs/>
          <w:iCs/>
          <w:szCs w:val="22"/>
        </w:rPr>
        <w:t xml:space="preserve"> </w:t>
      </w:r>
      <w:r w:rsidR="0071144E" w:rsidRPr="005C2D57">
        <w:rPr>
          <w:rFonts w:cs="Arial"/>
          <w:bCs/>
          <w:iCs/>
          <w:szCs w:val="22"/>
        </w:rPr>
        <w:t>hors AMM</w:t>
      </w:r>
      <w:r w:rsidR="0071144E">
        <w:rPr>
          <w:rFonts w:cs="Arial"/>
          <w:bCs/>
          <w:iCs/>
          <w:szCs w:val="22"/>
        </w:rPr>
        <w:t xml:space="preserve"> </w:t>
      </w:r>
      <w:r w:rsidR="0071144E" w:rsidRPr="005C2D57">
        <w:rPr>
          <w:rFonts w:cs="Arial"/>
          <w:bCs/>
          <w:iCs/>
          <w:szCs w:val="22"/>
        </w:rPr>
        <w:t>depuis de nombreuses années dans la prise en charge de</w:t>
      </w:r>
      <w:r w:rsidR="0071144E">
        <w:rPr>
          <w:rFonts w:cs="Arial"/>
          <w:bCs/>
          <w:iCs/>
          <w:szCs w:val="22"/>
        </w:rPr>
        <w:t xml:space="preserve"> patients ayant des douleurs </w:t>
      </w:r>
      <w:r w:rsidR="00797915">
        <w:rPr>
          <w:rFonts w:cs="Arial"/>
          <w:bCs/>
          <w:iCs/>
          <w:szCs w:val="22"/>
        </w:rPr>
        <w:t xml:space="preserve">chroniques </w:t>
      </w:r>
      <w:r w:rsidR="0071144E">
        <w:rPr>
          <w:rFonts w:cs="Arial"/>
          <w:bCs/>
          <w:iCs/>
          <w:szCs w:val="22"/>
        </w:rPr>
        <w:t xml:space="preserve">d’origine cancéreuse. Un traitement par ZORYON </w:t>
      </w:r>
      <w:r w:rsidR="0071144E">
        <w:rPr>
          <w:rFonts w:cs="Arial"/>
          <w:szCs w:val="22"/>
        </w:rPr>
        <w:t>p</w:t>
      </w:r>
      <w:r w:rsidR="00797915">
        <w:rPr>
          <w:rFonts w:cs="Arial"/>
          <w:szCs w:val="22"/>
        </w:rPr>
        <w:t>ourra</w:t>
      </w:r>
      <w:r w:rsidR="0071144E">
        <w:rPr>
          <w:rFonts w:cs="Arial"/>
          <w:szCs w:val="22"/>
        </w:rPr>
        <w:t xml:space="preserve"> être </w:t>
      </w:r>
      <w:r w:rsidR="0071144E" w:rsidRPr="00556336">
        <w:rPr>
          <w:rFonts w:cs="Arial"/>
          <w:szCs w:val="22"/>
        </w:rPr>
        <w:t xml:space="preserve">instauré </w:t>
      </w:r>
      <w:r w:rsidR="00797915">
        <w:rPr>
          <w:rFonts w:cs="Arial"/>
          <w:szCs w:val="22"/>
        </w:rPr>
        <w:t xml:space="preserve">chez ces patients </w:t>
      </w:r>
      <w:r w:rsidR="0071144E" w:rsidRPr="00556336">
        <w:rPr>
          <w:rFonts w:cs="Arial"/>
          <w:szCs w:val="22"/>
        </w:rPr>
        <w:t>à l’occasion d’un</w:t>
      </w:r>
      <w:r w:rsidR="00B443EE">
        <w:rPr>
          <w:rFonts w:cs="Arial"/>
          <w:szCs w:val="22"/>
        </w:rPr>
        <w:t>e rotation d’</w:t>
      </w:r>
      <w:r w:rsidR="0071144E">
        <w:rPr>
          <w:rFonts w:cs="Arial"/>
          <w:szCs w:val="22"/>
        </w:rPr>
        <w:t>opioïde de</w:t>
      </w:r>
      <w:r w:rsidR="0071144E" w:rsidRPr="00556336">
        <w:rPr>
          <w:rFonts w:cs="Arial"/>
          <w:szCs w:val="22"/>
        </w:rPr>
        <w:t xml:space="preserve"> palier </w:t>
      </w:r>
      <w:r w:rsidR="0071144E">
        <w:rPr>
          <w:rFonts w:cs="Arial"/>
          <w:szCs w:val="22"/>
        </w:rPr>
        <w:t>III.</w:t>
      </w:r>
    </w:p>
    <w:p w14:paraId="42527302" w14:textId="77777777" w:rsidR="0071144E" w:rsidRDefault="0071144E" w:rsidP="007B1284">
      <w:pPr>
        <w:rPr>
          <w:bCs/>
          <w:iCs/>
          <w:szCs w:val="22"/>
        </w:rPr>
      </w:pPr>
    </w:p>
    <w:p w14:paraId="765F9668" w14:textId="142C2D66" w:rsidR="00797915" w:rsidRDefault="00D3562D" w:rsidP="006041E7">
      <w:pPr>
        <w:rPr>
          <w:rFonts w:cs="Arial"/>
          <w:color w:val="000000" w:themeColor="text1"/>
          <w:szCs w:val="22"/>
        </w:rPr>
      </w:pPr>
      <w:r>
        <w:rPr>
          <w:rFonts w:cs="Arial"/>
          <w:bCs/>
          <w:shd w:val="clear" w:color="auto" w:fill="FFFFFF"/>
        </w:rPr>
        <w:t>L</w:t>
      </w:r>
      <w:r w:rsidR="009521FD" w:rsidRPr="0057235C">
        <w:rPr>
          <w:rFonts w:cs="Arial"/>
          <w:bCs/>
          <w:shd w:val="clear" w:color="auto" w:fill="FFFFFF"/>
        </w:rPr>
        <w:t xml:space="preserve">a pharmacodynamie et la pharmacocinétique des </w:t>
      </w:r>
      <w:r w:rsidR="00C24FB5">
        <w:rPr>
          <w:rFonts w:cs="Arial"/>
          <w:bCs/>
          <w:shd w:val="clear" w:color="auto" w:fill="FFFFFF"/>
        </w:rPr>
        <w:t>différents opioïdes, l</w:t>
      </w:r>
      <w:r w:rsidR="009521FD" w:rsidRPr="0057235C">
        <w:rPr>
          <w:rFonts w:cs="Arial"/>
          <w:bCs/>
          <w:shd w:val="clear" w:color="auto" w:fill="FFFFFF"/>
        </w:rPr>
        <w:t xml:space="preserve">es comorbidités et co-médications </w:t>
      </w:r>
      <w:r w:rsidR="003F5D35">
        <w:rPr>
          <w:rFonts w:cs="Arial"/>
          <w:bCs/>
          <w:shd w:val="clear" w:color="auto" w:fill="FFFFFF"/>
        </w:rPr>
        <w:t xml:space="preserve">du patient </w:t>
      </w:r>
      <w:r w:rsidR="00C24FB5">
        <w:rPr>
          <w:rFonts w:cs="Arial"/>
          <w:bCs/>
          <w:shd w:val="clear" w:color="auto" w:fill="FFFFFF"/>
        </w:rPr>
        <w:t>et</w:t>
      </w:r>
      <w:r w:rsidR="009521FD" w:rsidRPr="0057235C">
        <w:rPr>
          <w:rFonts w:cs="Arial"/>
          <w:bCs/>
          <w:shd w:val="clear" w:color="auto" w:fill="FFFFFF"/>
        </w:rPr>
        <w:t xml:space="preserve"> </w:t>
      </w:r>
      <w:r w:rsidR="00C24FB5">
        <w:rPr>
          <w:rFonts w:cs="Arial"/>
          <w:bCs/>
          <w:shd w:val="clear" w:color="auto" w:fill="FFFFFF"/>
        </w:rPr>
        <w:t>le</w:t>
      </w:r>
      <w:r w:rsidR="003F5D35">
        <w:rPr>
          <w:rFonts w:cs="Arial"/>
          <w:bCs/>
          <w:shd w:val="clear" w:color="auto" w:fill="FFFFFF"/>
        </w:rPr>
        <w:t xml:space="preserve"> cadre de prise en charge</w:t>
      </w:r>
      <w:r w:rsidR="00C24FB5">
        <w:rPr>
          <w:rFonts w:cs="Arial"/>
          <w:bCs/>
          <w:shd w:val="clear" w:color="auto" w:fill="FFFFFF"/>
        </w:rPr>
        <w:t xml:space="preserve"> sont des éléments </w:t>
      </w:r>
      <w:r w:rsidR="009521FD" w:rsidRPr="0057235C">
        <w:rPr>
          <w:rFonts w:cs="Arial"/>
          <w:bCs/>
          <w:shd w:val="clear" w:color="auto" w:fill="FFFFFF"/>
        </w:rPr>
        <w:t>à considérer</w:t>
      </w:r>
      <w:r w:rsidR="00C24FB5">
        <w:rPr>
          <w:rFonts w:cs="Arial"/>
          <w:bCs/>
          <w:shd w:val="clear" w:color="auto" w:fill="FFFFFF"/>
        </w:rPr>
        <w:t xml:space="preserve"> lors d</w:t>
      </w:r>
      <w:r>
        <w:rPr>
          <w:rFonts w:cs="Arial"/>
          <w:bCs/>
          <w:shd w:val="clear" w:color="auto" w:fill="FFFFFF"/>
        </w:rPr>
        <w:t>u changement d</w:t>
      </w:r>
      <w:r w:rsidR="00C24FB5">
        <w:rPr>
          <w:rFonts w:cs="Arial"/>
          <w:bCs/>
          <w:shd w:val="clear" w:color="auto" w:fill="FFFFFF"/>
        </w:rPr>
        <w:t>’</w:t>
      </w:r>
      <w:r>
        <w:rPr>
          <w:rFonts w:cs="Arial"/>
          <w:bCs/>
          <w:shd w:val="clear" w:color="auto" w:fill="FFFFFF"/>
        </w:rPr>
        <w:t>antalgique de palier III</w:t>
      </w:r>
      <w:r w:rsidR="009521FD" w:rsidRPr="0057235C">
        <w:rPr>
          <w:rFonts w:cs="Arial"/>
          <w:bCs/>
          <w:shd w:val="clear" w:color="auto" w:fill="FFFFFF"/>
        </w:rPr>
        <w:t xml:space="preserve">. </w:t>
      </w:r>
      <w:r w:rsidR="001E4D62" w:rsidRPr="00215368">
        <w:rPr>
          <w:rFonts w:cs="Arial"/>
          <w:color w:val="000000" w:themeColor="text1"/>
          <w:szCs w:val="22"/>
        </w:rPr>
        <w:t xml:space="preserve">Les </w:t>
      </w:r>
      <w:r w:rsidR="007B1284" w:rsidRPr="00215368">
        <w:rPr>
          <w:rFonts w:cs="Arial"/>
          <w:color w:val="000000" w:themeColor="text1"/>
          <w:szCs w:val="22"/>
        </w:rPr>
        <w:t>modalités d’administration du nouvel antalgique doivent prendre en compte le motif du changement (inefficacité ou intolérance), la ph</w:t>
      </w:r>
      <w:r w:rsidR="00C24FB5">
        <w:rPr>
          <w:rFonts w:cs="Arial"/>
          <w:color w:val="000000" w:themeColor="text1"/>
          <w:szCs w:val="22"/>
        </w:rPr>
        <w:t>armacocinétique de la molécule</w:t>
      </w:r>
      <w:r w:rsidR="007B1284" w:rsidRPr="00215368">
        <w:rPr>
          <w:rFonts w:cs="Arial"/>
          <w:color w:val="000000" w:themeColor="text1"/>
          <w:szCs w:val="22"/>
        </w:rPr>
        <w:t xml:space="preserve">, l’état métabolique du patient et les éventuelles interactions médicamenteuses. </w:t>
      </w:r>
    </w:p>
    <w:p w14:paraId="677EFA41" w14:textId="77777777" w:rsidR="00E60322" w:rsidRDefault="00E60322" w:rsidP="003F5D35">
      <w:pPr>
        <w:autoSpaceDE w:val="0"/>
        <w:autoSpaceDN w:val="0"/>
        <w:adjustRightInd w:val="0"/>
        <w:rPr>
          <w:rFonts w:cs="Arial"/>
          <w:color w:val="000000" w:themeColor="text1"/>
          <w:szCs w:val="22"/>
        </w:rPr>
      </w:pPr>
    </w:p>
    <w:p w14:paraId="13CA3C11" w14:textId="68246F35" w:rsidR="003F5D35" w:rsidRPr="00A71473" w:rsidRDefault="00CB623C" w:rsidP="003F5D35">
      <w:pPr>
        <w:autoSpaceDE w:val="0"/>
        <w:autoSpaceDN w:val="0"/>
        <w:adjustRightInd w:val="0"/>
        <w:rPr>
          <w:rFonts w:cs="Arial"/>
          <w:bCs/>
          <w:color w:val="000000" w:themeColor="text1"/>
          <w:szCs w:val="22"/>
        </w:rPr>
      </w:pPr>
      <w:r w:rsidRPr="00215368">
        <w:rPr>
          <w:rFonts w:cs="Arial"/>
          <w:color w:val="000000" w:themeColor="text1"/>
          <w:szCs w:val="22"/>
        </w:rPr>
        <w:t>L</w:t>
      </w:r>
      <w:r w:rsidR="00592F90" w:rsidRPr="00215368">
        <w:rPr>
          <w:rFonts w:cs="Arial"/>
          <w:color w:val="000000" w:themeColor="text1"/>
          <w:szCs w:val="22"/>
        </w:rPr>
        <w:t xml:space="preserve">es </w:t>
      </w:r>
      <w:r w:rsidR="00592F90" w:rsidRPr="00EF7D82">
        <w:rPr>
          <w:rFonts w:cs="Arial"/>
          <w:szCs w:val="22"/>
        </w:rPr>
        <w:t>caractéristiques</w:t>
      </w:r>
      <w:r w:rsidRPr="00EF7D82">
        <w:rPr>
          <w:rFonts w:cs="Arial"/>
          <w:szCs w:val="22"/>
        </w:rPr>
        <w:t xml:space="preserve"> pharmacocinétique</w:t>
      </w:r>
      <w:r w:rsidR="00592F90" w:rsidRPr="00EF7D82">
        <w:rPr>
          <w:rFonts w:cs="Arial"/>
          <w:szCs w:val="22"/>
        </w:rPr>
        <w:t>s</w:t>
      </w:r>
      <w:r w:rsidRPr="00EF7D82">
        <w:rPr>
          <w:rFonts w:cs="Arial"/>
          <w:szCs w:val="22"/>
        </w:rPr>
        <w:t xml:space="preserve"> et les données de tolérance d</w:t>
      </w:r>
      <w:r w:rsidR="009C7E40">
        <w:rPr>
          <w:rFonts w:cs="Arial"/>
          <w:szCs w:val="22"/>
        </w:rPr>
        <w:t>e la méthadone</w:t>
      </w:r>
      <w:r w:rsidRPr="00EF7D82">
        <w:rPr>
          <w:rFonts w:cs="Arial"/>
          <w:szCs w:val="22"/>
        </w:rPr>
        <w:t xml:space="preserve"> incitent à la prudence lors de l’instauration d</w:t>
      </w:r>
      <w:r w:rsidR="003F5D35">
        <w:rPr>
          <w:rFonts w:cs="Arial"/>
          <w:szCs w:val="22"/>
        </w:rPr>
        <w:t>u</w:t>
      </w:r>
      <w:r w:rsidR="00EF7D82">
        <w:rPr>
          <w:rFonts w:cs="Arial"/>
          <w:szCs w:val="22"/>
        </w:rPr>
        <w:t xml:space="preserve"> </w:t>
      </w:r>
      <w:r w:rsidRPr="00EF7D82">
        <w:rPr>
          <w:rFonts w:cs="Arial"/>
          <w:szCs w:val="22"/>
        </w:rPr>
        <w:t>traitement</w:t>
      </w:r>
      <w:r w:rsidR="00D34E2F">
        <w:rPr>
          <w:rFonts w:cs="Arial"/>
          <w:szCs w:val="22"/>
        </w:rPr>
        <w:t xml:space="preserve"> ; cette instauration </w:t>
      </w:r>
      <w:r w:rsidR="009012EA">
        <w:rPr>
          <w:rFonts w:cs="Arial"/>
          <w:szCs w:val="22"/>
        </w:rPr>
        <w:t>sera effectué</w:t>
      </w:r>
      <w:r w:rsidR="00B10D5C">
        <w:rPr>
          <w:rFonts w:cs="Arial"/>
          <w:szCs w:val="22"/>
        </w:rPr>
        <w:t>e</w:t>
      </w:r>
      <w:r w:rsidR="009012EA" w:rsidRPr="00212195">
        <w:rPr>
          <w:rFonts w:cs="Arial"/>
          <w:color w:val="000000" w:themeColor="text1"/>
          <w:szCs w:val="22"/>
        </w:rPr>
        <w:t xml:space="preserve"> </w:t>
      </w:r>
      <w:r w:rsidR="00D34E2F">
        <w:rPr>
          <w:rFonts w:cs="Arial"/>
          <w:color w:val="000000" w:themeColor="text1"/>
          <w:szCs w:val="22"/>
        </w:rPr>
        <w:t xml:space="preserve">en milieu hospitalier </w:t>
      </w:r>
      <w:r w:rsidR="009012EA" w:rsidRPr="00212195">
        <w:rPr>
          <w:rFonts w:cs="Arial"/>
          <w:color w:val="000000" w:themeColor="text1"/>
          <w:szCs w:val="22"/>
        </w:rPr>
        <w:t xml:space="preserve">par une équipe spécialisée dans la prise en charge de la douleur ou des soins palliatifs et </w:t>
      </w:r>
      <w:r w:rsidR="009012EA">
        <w:rPr>
          <w:rFonts w:cs="Arial"/>
          <w:color w:val="000000" w:themeColor="text1"/>
          <w:szCs w:val="22"/>
        </w:rPr>
        <w:t>expérimentée dans l’utilisation du produit</w:t>
      </w:r>
      <w:r w:rsidR="00D34E2F">
        <w:rPr>
          <w:rFonts w:cs="Arial"/>
          <w:color w:val="000000" w:themeColor="text1"/>
          <w:szCs w:val="22"/>
        </w:rPr>
        <w:t>. D</w:t>
      </w:r>
      <w:r w:rsidRPr="00EF7D82">
        <w:rPr>
          <w:rFonts w:cs="Arial"/>
          <w:szCs w:val="22"/>
        </w:rPr>
        <w:t xml:space="preserve">’autres </w:t>
      </w:r>
      <w:r w:rsidR="00EF7D82" w:rsidRPr="00EF7D82">
        <w:rPr>
          <w:rFonts w:cs="Arial"/>
          <w:szCs w:val="22"/>
        </w:rPr>
        <w:t xml:space="preserve">antalgiques de palier </w:t>
      </w:r>
      <w:r w:rsidR="00FD0660">
        <w:rPr>
          <w:rFonts w:cs="Arial"/>
          <w:szCs w:val="22"/>
        </w:rPr>
        <w:t>III</w:t>
      </w:r>
      <w:r w:rsidR="001639BF">
        <w:rPr>
          <w:rFonts w:cs="Arial"/>
          <w:szCs w:val="22"/>
        </w:rPr>
        <w:t xml:space="preserve"> </w:t>
      </w:r>
      <w:r w:rsidRPr="00EF7D82">
        <w:rPr>
          <w:rFonts w:cs="Arial"/>
          <w:szCs w:val="22"/>
        </w:rPr>
        <w:t>semble</w:t>
      </w:r>
      <w:r w:rsidR="00F94D0B">
        <w:rPr>
          <w:rFonts w:cs="Arial"/>
          <w:szCs w:val="22"/>
        </w:rPr>
        <w:t>nt</w:t>
      </w:r>
      <w:r w:rsidRPr="00EF7D82">
        <w:rPr>
          <w:rFonts w:cs="Arial"/>
          <w:szCs w:val="22"/>
        </w:rPr>
        <w:t xml:space="preserve"> </w:t>
      </w:r>
      <w:r w:rsidR="003F5EA6" w:rsidRPr="00EF7D82">
        <w:rPr>
          <w:rFonts w:cs="Arial"/>
          <w:szCs w:val="22"/>
        </w:rPr>
        <w:t>de maniement plus</w:t>
      </w:r>
      <w:r w:rsidRPr="00EF7D82">
        <w:rPr>
          <w:rFonts w:cs="Arial"/>
          <w:szCs w:val="22"/>
        </w:rPr>
        <w:t xml:space="preserve"> aisé dans la prise en charge </w:t>
      </w:r>
      <w:r w:rsidR="00D3562D">
        <w:rPr>
          <w:rFonts w:cs="Arial"/>
          <w:szCs w:val="22"/>
        </w:rPr>
        <w:t>de patients nécessitant une rotation d’opioïde</w:t>
      </w:r>
      <w:r w:rsidR="009012EA">
        <w:rPr>
          <w:rFonts w:cs="Arial"/>
          <w:szCs w:val="22"/>
        </w:rPr>
        <w:t>.</w:t>
      </w:r>
    </w:p>
    <w:p w14:paraId="2A971A91" w14:textId="52517025" w:rsidR="00B8231A" w:rsidRDefault="0057034E" w:rsidP="003F5D35">
      <w:pPr>
        <w:autoSpaceDE w:val="0"/>
        <w:autoSpaceDN w:val="0"/>
        <w:adjustRightInd w:val="0"/>
        <w:rPr>
          <w:rFonts w:cs="Arial"/>
          <w:bCs/>
          <w:color w:val="000000" w:themeColor="text1"/>
          <w:szCs w:val="22"/>
        </w:rPr>
      </w:pPr>
      <w:r w:rsidRPr="00A71473">
        <w:rPr>
          <w:rFonts w:cs="Arial"/>
          <w:color w:val="000000" w:themeColor="text1"/>
          <w:szCs w:val="22"/>
        </w:rPr>
        <w:t xml:space="preserve">Il </w:t>
      </w:r>
      <w:r w:rsidR="00E1253B" w:rsidRPr="00A71473">
        <w:rPr>
          <w:rFonts w:cs="Arial"/>
          <w:color w:val="000000" w:themeColor="text1"/>
          <w:szCs w:val="22"/>
        </w:rPr>
        <w:t xml:space="preserve">n’y a pas </w:t>
      </w:r>
      <w:r w:rsidRPr="00A71473">
        <w:rPr>
          <w:rFonts w:cs="Arial"/>
          <w:color w:val="000000" w:themeColor="text1"/>
          <w:szCs w:val="22"/>
        </w:rPr>
        <w:t xml:space="preserve">de consensus concernant les protocoles de conversion d’un traitement </w:t>
      </w:r>
      <w:r w:rsidR="00F46954" w:rsidRPr="00A71473">
        <w:rPr>
          <w:rFonts w:cs="Arial"/>
          <w:color w:val="000000" w:themeColor="text1"/>
          <w:szCs w:val="22"/>
        </w:rPr>
        <w:t xml:space="preserve">antalgique </w:t>
      </w:r>
      <w:r w:rsidRPr="00A71473">
        <w:rPr>
          <w:rFonts w:cs="Arial"/>
          <w:color w:val="000000" w:themeColor="text1"/>
          <w:szCs w:val="22"/>
        </w:rPr>
        <w:t xml:space="preserve">opioïde vers la </w:t>
      </w:r>
      <w:r w:rsidRPr="00212195">
        <w:rPr>
          <w:rFonts w:cs="Arial"/>
          <w:color w:val="000000" w:themeColor="text1"/>
          <w:szCs w:val="22"/>
        </w:rPr>
        <w:t>méthadone</w:t>
      </w:r>
      <w:r w:rsidR="007744F1">
        <w:rPr>
          <w:rFonts w:cs="Arial"/>
          <w:color w:val="000000" w:themeColor="text1"/>
          <w:szCs w:val="22"/>
        </w:rPr>
        <w:t> ; l</w:t>
      </w:r>
      <w:r w:rsidR="00207152" w:rsidRPr="00212195">
        <w:rPr>
          <w:rFonts w:cs="Arial"/>
          <w:szCs w:val="22"/>
        </w:rPr>
        <w:t>e choix du protocole à utiliser lors de l’instauration du traitement est laissé à l’appréciation de l’équipe hospitalière.</w:t>
      </w:r>
      <w:r w:rsidR="003F5D35">
        <w:rPr>
          <w:rFonts w:cs="Arial"/>
          <w:szCs w:val="22"/>
        </w:rPr>
        <w:t xml:space="preserve"> </w:t>
      </w:r>
      <w:r w:rsidR="0071667B" w:rsidRPr="00A71473">
        <w:rPr>
          <w:rFonts w:cs="Arial"/>
          <w:bCs/>
          <w:color w:val="000000" w:themeColor="text1"/>
          <w:szCs w:val="22"/>
        </w:rPr>
        <w:t xml:space="preserve">Face à </w:t>
      </w:r>
      <w:r w:rsidR="00A57103">
        <w:rPr>
          <w:rFonts w:cs="Arial"/>
          <w:bCs/>
          <w:color w:val="000000" w:themeColor="text1"/>
          <w:szCs w:val="22"/>
        </w:rPr>
        <w:t>d</w:t>
      </w:r>
      <w:r w:rsidR="0071667B" w:rsidRPr="00A71473">
        <w:rPr>
          <w:rFonts w:cs="Arial"/>
          <w:bCs/>
          <w:color w:val="000000" w:themeColor="text1"/>
          <w:szCs w:val="22"/>
        </w:rPr>
        <w:t>es</w:t>
      </w:r>
      <w:r w:rsidR="00B8231A" w:rsidRPr="00A71473">
        <w:rPr>
          <w:rFonts w:cs="Arial"/>
          <w:bCs/>
          <w:color w:val="000000" w:themeColor="text1"/>
          <w:szCs w:val="22"/>
        </w:rPr>
        <w:t xml:space="preserve"> douleurs instables, </w:t>
      </w:r>
      <w:r w:rsidR="0033085E" w:rsidRPr="00A71473">
        <w:rPr>
          <w:rFonts w:cs="Arial"/>
          <w:bCs/>
          <w:color w:val="000000" w:themeColor="text1"/>
          <w:szCs w:val="22"/>
        </w:rPr>
        <w:t>des interdoses sont utilisées</w:t>
      </w:r>
      <w:r w:rsidR="00A57103">
        <w:rPr>
          <w:rFonts w:cs="Arial"/>
          <w:bCs/>
          <w:color w:val="000000" w:themeColor="text1"/>
          <w:szCs w:val="22"/>
        </w:rPr>
        <w:t> ;</w:t>
      </w:r>
      <w:r w:rsidR="0033085E" w:rsidRPr="00A71473">
        <w:rPr>
          <w:rFonts w:cs="Arial"/>
          <w:bCs/>
          <w:color w:val="000000" w:themeColor="text1"/>
          <w:szCs w:val="22"/>
        </w:rPr>
        <w:t xml:space="preserve"> </w:t>
      </w:r>
      <w:r w:rsidR="00974011" w:rsidRPr="00A71473">
        <w:rPr>
          <w:rFonts w:cs="Arial"/>
          <w:bCs/>
          <w:color w:val="000000" w:themeColor="text1"/>
          <w:szCs w:val="22"/>
        </w:rPr>
        <w:t xml:space="preserve">la dose quotidienne </w:t>
      </w:r>
      <w:r w:rsidR="00137C69">
        <w:rPr>
          <w:rFonts w:cs="Arial"/>
          <w:bCs/>
          <w:color w:val="000000" w:themeColor="text1"/>
          <w:szCs w:val="22"/>
        </w:rPr>
        <w:t xml:space="preserve">totale </w:t>
      </w:r>
      <w:r w:rsidR="00974011" w:rsidRPr="00A71473">
        <w:rPr>
          <w:rFonts w:cs="Arial"/>
          <w:bCs/>
          <w:color w:val="000000" w:themeColor="text1"/>
          <w:szCs w:val="22"/>
        </w:rPr>
        <w:t xml:space="preserve">administrée </w:t>
      </w:r>
      <w:r w:rsidR="00A57103">
        <w:rPr>
          <w:rFonts w:cs="Arial"/>
          <w:bCs/>
          <w:color w:val="000000" w:themeColor="text1"/>
          <w:szCs w:val="22"/>
        </w:rPr>
        <w:t>est</w:t>
      </w:r>
      <w:r w:rsidR="00137C69">
        <w:rPr>
          <w:rFonts w:cs="Arial"/>
          <w:bCs/>
          <w:color w:val="000000" w:themeColor="text1"/>
          <w:szCs w:val="22"/>
        </w:rPr>
        <w:t xml:space="preserve"> fractionnée sur 24 heures.</w:t>
      </w:r>
    </w:p>
    <w:p w14:paraId="3EF585A0" w14:textId="6A91E3ED" w:rsidR="00D3562D" w:rsidRPr="00A71473" w:rsidRDefault="00D3562D" w:rsidP="00D3562D">
      <w:pPr>
        <w:autoSpaceDE w:val="0"/>
        <w:autoSpaceDN w:val="0"/>
        <w:adjustRightInd w:val="0"/>
        <w:rPr>
          <w:rFonts w:cs="Arial"/>
          <w:bCs/>
          <w:color w:val="000000" w:themeColor="text1"/>
          <w:szCs w:val="22"/>
        </w:rPr>
      </w:pPr>
      <w:r w:rsidRPr="00EF7D82">
        <w:rPr>
          <w:bCs/>
          <w:iCs/>
          <w:szCs w:val="22"/>
        </w:rPr>
        <w:t xml:space="preserve">Seuls les cliniciens familiarisés avec le profil de tolérance du produit, prêts à éduquer leurs patients et à les suivre de près </w:t>
      </w:r>
      <w:r w:rsidR="009335D6">
        <w:rPr>
          <w:bCs/>
          <w:iCs/>
          <w:szCs w:val="22"/>
        </w:rPr>
        <w:t>(</w:t>
      </w:r>
      <w:r w:rsidRPr="00EF7D82">
        <w:rPr>
          <w:bCs/>
          <w:iCs/>
          <w:szCs w:val="22"/>
        </w:rPr>
        <w:t>évaluation du risque d’allongement du QT</w:t>
      </w:r>
      <w:r w:rsidR="009335D6">
        <w:rPr>
          <w:bCs/>
          <w:iCs/>
          <w:szCs w:val="22"/>
        </w:rPr>
        <w:t xml:space="preserve">, </w:t>
      </w:r>
      <w:r w:rsidRPr="00EF7D82">
        <w:rPr>
          <w:bCs/>
          <w:iCs/>
          <w:szCs w:val="22"/>
        </w:rPr>
        <w:t>monitorage ECG</w:t>
      </w:r>
      <w:r w:rsidR="009335D6">
        <w:rPr>
          <w:bCs/>
          <w:iCs/>
          <w:szCs w:val="22"/>
        </w:rPr>
        <w:t xml:space="preserve">) </w:t>
      </w:r>
      <w:r w:rsidRPr="00EF7D82">
        <w:rPr>
          <w:bCs/>
          <w:iCs/>
          <w:szCs w:val="22"/>
        </w:rPr>
        <w:t>doivent prescrire la méthadone dans son indication antalgique.</w:t>
      </w:r>
    </w:p>
    <w:p w14:paraId="131ADF42" w14:textId="77777777" w:rsidR="009012EA" w:rsidRDefault="009012EA" w:rsidP="00274769">
      <w:pPr>
        <w:rPr>
          <w:bCs/>
          <w:iCs/>
          <w:color w:val="000000" w:themeColor="text1"/>
          <w:szCs w:val="22"/>
        </w:rPr>
      </w:pPr>
    </w:p>
    <w:p w14:paraId="358ED800" w14:textId="477F510E" w:rsidR="00140EFF" w:rsidRPr="00A71473" w:rsidRDefault="00140EFF" w:rsidP="00274769">
      <w:pPr>
        <w:rPr>
          <w:bCs/>
          <w:iCs/>
          <w:color w:val="000000" w:themeColor="text1"/>
          <w:szCs w:val="22"/>
        </w:rPr>
      </w:pPr>
      <w:r w:rsidRPr="00A71473">
        <w:rPr>
          <w:bCs/>
          <w:iCs/>
          <w:color w:val="000000" w:themeColor="text1"/>
          <w:szCs w:val="22"/>
        </w:rPr>
        <w:t xml:space="preserve">Un suivi rapproché </w:t>
      </w:r>
      <w:r w:rsidR="008F27EB">
        <w:rPr>
          <w:bCs/>
          <w:iCs/>
          <w:color w:val="000000" w:themeColor="text1"/>
          <w:szCs w:val="22"/>
        </w:rPr>
        <w:t xml:space="preserve">du </w:t>
      </w:r>
      <w:r w:rsidR="00C24FB5">
        <w:rPr>
          <w:bCs/>
          <w:iCs/>
          <w:color w:val="000000" w:themeColor="text1"/>
          <w:szCs w:val="22"/>
        </w:rPr>
        <w:t xml:space="preserve">patient </w:t>
      </w:r>
      <w:r w:rsidRPr="00A71473">
        <w:rPr>
          <w:bCs/>
          <w:iCs/>
          <w:color w:val="000000" w:themeColor="text1"/>
          <w:szCs w:val="22"/>
        </w:rPr>
        <w:t>et une r</w:t>
      </w:r>
      <w:r w:rsidR="00274769" w:rsidRPr="00A71473">
        <w:rPr>
          <w:bCs/>
          <w:iCs/>
          <w:color w:val="000000" w:themeColor="text1"/>
          <w:szCs w:val="22"/>
        </w:rPr>
        <w:t xml:space="preserve">éévaluation périodique </w:t>
      </w:r>
      <w:r w:rsidRPr="00A71473">
        <w:rPr>
          <w:bCs/>
          <w:iCs/>
          <w:color w:val="000000" w:themeColor="text1"/>
          <w:szCs w:val="22"/>
        </w:rPr>
        <w:t xml:space="preserve">et pluridisciplinaire </w:t>
      </w:r>
      <w:r w:rsidR="00274769" w:rsidRPr="00A71473">
        <w:rPr>
          <w:bCs/>
          <w:iCs/>
          <w:color w:val="000000" w:themeColor="text1"/>
          <w:szCs w:val="22"/>
        </w:rPr>
        <w:t>de la pertinence</w:t>
      </w:r>
      <w:r w:rsidR="008758FE">
        <w:rPr>
          <w:bCs/>
          <w:iCs/>
          <w:color w:val="000000" w:themeColor="text1"/>
          <w:szCs w:val="22"/>
        </w:rPr>
        <w:t xml:space="preserve"> </w:t>
      </w:r>
      <w:r w:rsidR="00274769" w:rsidRPr="00A71473">
        <w:rPr>
          <w:bCs/>
          <w:iCs/>
          <w:color w:val="000000" w:themeColor="text1"/>
          <w:szCs w:val="22"/>
        </w:rPr>
        <w:t>de la prescription s</w:t>
      </w:r>
      <w:r w:rsidRPr="00A71473">
        <w:rPr>
          <w:bCs/>
          <w:iCs/>
          <w:color w:val="000000" w:themeColor="text1"/>
          <w:szCs w:val="22"/>
        </w:rPr>
        <w:t>ont</w:t>
      </w:r>
      <w:r w:rsidR="00274769" w:rsidRPr="00A71473">
        <w:rPr>
          <w:bCs/>
          <w:iCs/>
          <w:color w:val="000000" w:themeColor="text1"/>
          <w:szCs w:val="22"/>
        </w:rPr>
        <w:t xml:space="preserve"> </w:t>
      </w:r>
      <w:r w:rsidRPr="00A71473">
        <w:rPr>
          <w:bCs/>
          <w:iCs/>
          <w:color w:val="000000" w:themeColor="text1"/>
          <w:szCs w:val="22"/>
        </w:rPr>
        <w:t>nécessaires</w:t>
      </w:r>
      <w:r w:rsidR="00974011" w:rsidRPr="00A71473">
        <w:rPr>
          <w:bCs/>
          <w:iCs/>
          <w:color w:val="000000" w:themeColor="text1"/>
          <w:szCs w:val="22"/>
        </w:rPr>
        <w:t> </w:t>
      </w:r>
      <w:r w:rsidR="009012EA">
        <w:rPr>
          <w:bCs/>
          <w:iCs/>
          <w:color w:val="000000" w:themeColor="text1"/>
          <w:szCs w:val="22"/>
        </w:rPr>
        <w:t>sous traitement opioïde ;</w:t>
      </w:r>
      <w:r w:rsidR="00974011" w:rsidRPr="00A71473">
        <w:rPr>
          <w:bCs/>
          <w:iCs/>
          <w:color w:val="000000" w:themeColor="text1"/>
          <w:szCs w:val="22"/>
        </w:rPr>
        <w:t xml:space="preserve"> l</w:t>
      </w:r>
      <w:r w:rsidRPr="00A71473">
        <w:rPr>
          <w:bCs/>
          <w:iCs/>
          <w:color w:val="000000" w:themeColor="text1"/>
          <w:szCs w:val="22"/>
        </w:rPr>
        <w:t xml:space="preserve">a situation clinique du patient </w:t>
      </w:r>
      <w:r w:rsidR="00B60218" w:rsidRPr="00A71473">
        <w:rPr>
          <w:bCs/>
          <w:iCs/>
          <w:color w:val="000000" w:themeColor="text1"/>
          <w:szCs w:val="22"/>
        </w:rPr>
        <w:t>devr</w:t>
      </w:r>
      <w:r w:rsidR="00A71473">
        <w:rPr>
          <w:bCs/>
          <w:iCs/>
          <w:color w:val="000000" w:themeColor="text1"/>
          <w:szCs w:val="22"/>
        </w:rPr>
        <w:t>a</w:t>
      </w:r>
      <w:r w:rsidR="00B60218" w:rsidRPr="00A71473">
        <w:rPr>
          <w:bCs/>
          <w:iCs/>
          <w:color w:val="000000" w:themeColor="text1"/>
          <w:szCs w:val="22"/>
        </w:rPr>
        <w:t xml:space="preserve"> faire</w:t>
      </w:r>
      <w:r w:rsidRPr="00A71473">
        <w:rPr>
          <w:bCs/>
          <w:iCs/>
          <w:color w:val="000000" w:themeColor="text1"/>
          <w:szCs w:val="22"/>
        </w:rPr>
        <w:t xml:space="preserve"> l’objet d’évaluation</w:t>
      </w:r>
      <w:r w:rsidR="00873425" w:rsidRPr="00A71473">
        <w:rPr>
          <w:bCs/>
          <w:iCs/>
          <w:color w:val="000000" w:themeColor="text1"/>
          <w:szCs w:val="22"/>
        </w:rPr>
        <w:t>s</w:t>
      </w:r>
      <w:r w:rsidRPr="00A71473">
        <w:rPr>
          <w:bCs/>
          <w:iCs/>
          <w:color w:val="000000" w:themeColor="text1"/>
          <w:szCs w:val="22"/>
        </w:rPr>
        <w:t xml:space="preserve"> </w:t>
      </w:r>
      <w:r w:rsidR="0068617E">
        <w:rPr>
          <w:bCs/>
          <w:iCs/>
          <w:color w:val="000000" w:themeColor="text1"/>
          <w:szCs w:val="22"/>
        </w:rPr>
        <w:t xml:space="preserve">régulières attentives et </w:t>
      </w:r>
      <w:r w:rsidRPr="00A71473">
        <w:rPr>
          <w:bCs/>
          <w:iCs/>
          <w:color w:val="000000" w:themeColor="text1"/>
          <w:szCs w:val="22"/>
        </w:rPr>
        <w:t>conjointe</w:t>
      </w:r>
      <w:r w:rsidR="00873425" w:rsidRPr="00A71473">
        <w:rPr>
          <w:bCs/>
          <w:iCs/>
          <w:color w:val="000000" w:themeColor="text1"/>
          <w:szCs w:val="22"/>
        </w:rPr>
        <w:t>s</w:t>
      </w:r>
      <w:r w:rsidRPr="00A71473">
        <w:rPr>
          <w:bCs/>
          <w:iCs/>
          <w:color w:val="000000" w:themeColor="text1"/>
          <w:szCs w:val="22"/>
        </w:rPr>
        <w:t xml:space="preserve"> entre le médecin </w:t>
      </w:r>
      <w:r w:rsidR="00974011" w:rsidRPr="00A71473">
        <w:rPr>
          <w:bCs/>
          <w:iCs/>
          <w:color w:val="000000" w:themeColor="text1"/>
          <w:szCs w:val="22"/>
        </w:rPr>
        <w:t xml:space="preserve">algologue </w:t>
      </w:r>
      <w:r w:rsidRPr="00A71473">
        <w:rPr>
          <w:bCs/>
          <w:iCs/>
          <w:color w:val="000000" w:themeColor="text1"/>
          <w:szCs w:val="22"/>
        </w:rPr>
        <w:t>ou</w:t>
      </w:r>
      <w:r w:rsidR="00974011" w:rsidRPr="00A71473">
        <w:rPr>
          <w:bCs/>
          <w:iCs/>
          <w:color w:val="000000" w:themeColor="text1"/>
          <w:szCs w:val="22"/>
        </w:rPr>
        <w:t xml:space="preserve"> </w:t>
      </w:r>
      <w:r w:rsidR="009335D6">
        <w:rPr>
          <w:bCs/>
          <w:iCs/>
          <w:color w:val="000000" w:themeColor="text1"/>
          <w:szCs w:val="22"/>
        </w:rPr>
        <w:t>formé aux</w:t>
      </w:r>
      <w:r w:rsidR="00974011" w:rsidRPr="00A71473">
        <w:rPr>
          <w:bCs/>
          <w:iCs/>
          <w:color w:val="000000" w:themeColor="text1"/>
          <w:szCs w:val="22"/>
        </w:rPr>
        <w:t xml:space="preserve"> soins palliatif</w:t>
      </w:r>
      <w:r w:rsidR="00382A69" w:rsidRPr="00A71473">
        <w:rPr>
          <w:bCs/>
          <w:iCs/>
          <w:color w:val="000000" w:themeColor="text1"/>
          <w:szCs w:val="22"/>
        </w:rPr>
        <w:t>s</w:t>
      </w:r>
      <w:r w:rsidR="00974011" w:rsidRPr="00A71473">
        <w:rPr>
          <w:bCs/>
          <w:iCs/>
          <w:color w:val="000000" w:themeColor="text1"/>
          <w:szCs w:val="22"/>
        </w:rPr>
        <w:t xml:space="preserve"> </w:t>
      </w:r>
      <w:r w:rsidRPr="00A71473">
        <w:rPr>
          <w:bCs/>
          <w:iCs/>
          <w:color w:val="000000" w:themeColor="text1"/>
          <w:szCs w:val="22"/>
        </w:rPr>
        <w:t xml:space="preserve">et </w:t>
      </w:r>
      <w:r w:rsidR="00B60218" w:rsidRPr="00A71473">
        <w:rPr>
          <w:bCs/>
          <w:iCs/>
          <w:color w:val="000000" w:themeColor="text1"/>
          <w:szCs w:val="22"/>
        </w:rPr>
        <w:t>l’</w:t>
      </w:r>
      <w:r w:rsidRPr="00A71473">
        <w:rPr>
          <w:bCs/>
          <w:iCs/>
          <w:color w:val="000000" w:themeColor="text1"/>
          <w:szCs w:val="22"/>
        </w:rPr>
        <w:t>oncologue.</w:t>
      </w:r>
    </w:p>
    <w:p w14:paraId="3B1F3ED7" w14:textId="77777777" w:rsidR="0007793F" w:rsidRDefault="0007793F" w:rsidP="0057034E">
      <w:pPr>
        <w:autoSpaceDE w:val="0"/>
        <w:autoSpaceDN w:val="0"/>
        <w:adjustRightInd w:val="0"/>
        <w:rPr>
          <w:iCs/>
        </w:rPr>
      </w:pPr>
    </w:p>
    <w:p w14:paraId="014C0F8E" w14:textId="1B2B9DE8" w:rsidR="00087B69" w:rsidRPr="00EF7D82" w:rsidRDefault="00EA17FD" w:rsidP="00EA17FD">
      <w:pPr>
        <w:autoSpaceDE w:val="0"/>
        <w:autoSpaceDN w:val="0"/>
        <w:adjustRightInd w:val="0"/>
        <w:rPr>
          <w:iCs/>
        </w:rPr>
      </w:pPr>
      <w:r w:rsidRPr="00EF7D82">
        <w:rPr>
          <w:iCs/>
        </w:rPr>
        <w:t xml:space="preserve">En cas de nécessité, le passage de la méthadone aux autres opioïdes est possible </w:t>
      </w:r>
      <w:r w:rsidR="00E030F7" w:rsidRPr="00EF7D82">
        <w:rPr>
          <w:iCs/>
        </w:rPr>
        <w:t>en tenant compte des caractéristiques cinétiques du produit.</w:t>
      </w:r>
      <w:r w:rsidRPr="00EF7D82">
        <w:rPr>
          <w:iCs/>
        </w:rPr>
        <w:t xml:space="preserve"> </w:t>
      </w:r>
    </w:p>
    <w:p w14:paraId="55FEE268" w14:textId="77777777" w:rsidR="0050590F" w:rsidRDefault="0050590F" w:rsidP="009C68E1">
      <w:pPr>
        <w:rPr>
          <w:rFonts w:cs="Arial"/>
          <w:szCs w:val="22"/>
        </w:rPr>
      </w:pPr>
    </w:p>
    <w:p w14:paraId="616F2E53" w14:textId="77777777" w:rsidR="00EA50C2" w:rsidRDefault="00EA50C2">
      <w:pPr>
        <w:jc w:val="left"/>
        <w:rPr>
          <w:rFonts w:ascii="Arial Gras" w:hAnsi="Arial Gras"/>
          <w:b/>
          <w:smallCaps/>
          <w:color w:val="808080"/>
          <w:sz w:val="32"/>
        </w:rPr>
      </w:pPr>
      <w:r>
        <w:br w:type="page"/>
      </w:r>
    </w:p>
    <w:p w14:paraId="1C9B5F99" w14:textId="4B6E4C3A" w:rsidR="00E071FF" w:rsidRPr="00E071FF" w:rsidRDefault="00E071FF" w:rsidP="00BE30BA">
      <w:pPr>
        <w:pStyle w:val="Titre1"/>
      </w:pPr>
      <w:r>
        <w:t>Conclusions de la Commis</w:t>
      </w:r>
      <w:r w:rsidR="00690F1A">
        <w:t>s</w:t>
      </w:r>
      <w:r>
        <w:t>ion</w:t>
      </w:r>
    </w:p>
    <w:p w14:paraId="0FAF2C9A" w14:textId="77777777" w:rsidR="009C68E1" w:rsidRDefault="009C68E1"/>
    <w:p w14:paraId="4E4ED661" w14:textId="77777777" w:rsidR="00FD7D94" w:rsidRPr="007C3389" w:rsidRDefault="00E071FF" w:rsidP="007946C7">
      <w:pPr>
        <w:pStyle w:val="StyleGras"/>
      </w:pPr>
      <w:r w:rsidRPr="00C4174A">
        <w:t>C</w:t>
      </w:r>
      <w:r w:rsidR="00FD7D94" w:rsidRPr="00C4174A">
        <w:t>onsidérant l’ensemble de ces informations et après débat et vote</w:t>
      </w:r>
      <w:r w:rsidRPr="00C4174A">
        <w:t xml:space="preserve">, la Commission </w:t>
      </w:r>
      <w:r w:rsidR="00A000BD">
        <w:t>estime</w:t>
      </w:r>
      <w:r w:rsidR="00FD7D94" w:rsidRPr="00C4174A">
        <w:t> :</w:t>
      </w:r>
    </w:p>
    <w:p w14:paraId="41831730" w14:textId="77777777" w:rsidR="009C68E1" w:rsidRDefault="009C68E1"/>
    <w:p w14:paraId="5D1D5F02" w14:textId="77777777" w:rsidR="00C80447" w:rsidRPr="006F4F1D" w:rsidRDefault="002A5305" w:rsidP="00DA6BD6">
      <w:pPr>
        <w:pStyle w:val="Titre2"/>
      </w:pPr>
      <w:r w:rsidRPr="006F4F1D">
        <w:t>Service Médical Rendu</w:t>
      </w:r>
    </w:p>
    <w:p w14:paraId="4AD2B002" w14:textId="07D9DAC1" w:rsidR="00E45673" w:rsidRPr="000A0351" w:rsidRDefault="00690F1A" w:rsidP="00E45673">
      <w:pPr>
        <w:rPr>
          <w:rFonts w:cs="Arial"/>
          <w:b/>
          <w:bCs/>
          <w:color w:val="00B050"/>
          <w:szCs w:val="22"/>
        </w:rPr>
      </w:pPr>
      <w:r w:rsidRPr="006F4F1D">
        <w:rPr>
          <w:b/>
          <w:iCs/>
          <w:szCs w:val="22"/>
        </w:rPr>
        <w:sym w:font="Wingdings 2" w:char="F0BB"/>
      </w:r>
      <w:r w:rsidRPr="006F4F1D">
        <w:rPr>
          <w:rFonts w:cs="Arial"/>
          <w:szCs w:val="22"/>
        </w:rPr>
        <w:t xml:space="preserve"> </w:t>
      </w:r>
      <w:r w:rsidR="00E45673" w:rsidRPr="006F4F1D">
        <w:rPr>
          <w:rFonts w:cs="Arial"/>
          <w:szCs w:val="22"/>
        </w:rPr>
        <w:t xml:space="preserve">Les douleurs </w:t>
      </w:r>
      <w:r w:rsidR="00B060A1">
        <w:rPr>
          <w:rFonts w:cs="Arial"/>
          <w:szCs w:val="22"/>
        </w:rPr>
        <w:t>chronique</w:t>
      </w:r>
      <w:r w:rsidR="001C4D5A">
        <w:rPr>
          <w:rFonts w:cs="Arial"/>
          <w:szCs w:val="22"/>
        </w:rPr>
        <w:t>s</w:t>
      </w:r>
      <w:r w:rsidR="00B060A1">
        <w:rPr>
          <w:rFonts w:cs="Arial"/>
          <w:szCs w:val="22"/>
        </w:rPr>
        <w:t xml:space="preserve"> </w:t>
      </w:r>
      <w:r w:rsidR="000B5A89" w:rsidRPr="002C7C82">
        <w:rPr>
          <w:rFonts w:cs="Arial"/>
          <w:bCs/>
          <w:szCs w:val="22"/>
        </w:rPr>
        <w:t>d’origine</w:t>
      </w:r>
      <w:r w:rsidR="000B5A89" w:rsidRPr="002C7C82">
        <w:rPr>
          <w:rFonts w:cs="Arial"/>
          <w:bCs/>
          <w:szCs w:val="22"/>
          <w:vertAlign w:val="superscript"/>
        </w:rPr>
        <w:t xml:space="preserve"> </w:t>
      </w:r>
      <w:r w:rsidR="000B5A89" w:rsidRPr="002C7C82">
        <w:rPr>
          <w:rFonts w:cs="Arial"/>
          <w:bCs/>
          <w:szCs w:val="22"/>
        </w:rPr>
        <w:t xml:space="preserve">cancéreuse d’intensité modérée à sévère </w:t>
      </w:r>
      <w:r w:rsidR="00B060A1">
        <w:rPr>
          <w:rFonts w:cs="Arial"/>
          <w:bCs/>
          <w:szCs w:val="22"/>
        </w:rPr>
        <w:t xml:space="preserve">non contrôlées </w:t>
      </w:r>
      <w:r w:rsidR="001C4D5A">
        <w:rPr>
          <w:rFonts w:cs="Arial"/>
          <w:bCs/>
          <w:szCs w:val="22"/>
        </w:rPr>
        <w:t xml:space="preserve">retentissent de façon majeure sur </w:t>
      </w:r>
      <w:r w:rsidR="00E45673" w:rsidRPr="000F41E4">
        <w:rPr>
          <w:rFonts w:cs="Arial"/>
          <w:szCs w:val="22"/>
        </w:rPr>
        <w:t>la qualité de vie</w:t>
      </w:r>
      <w:r w:rsidR="001C4D5A">
        <w:rPr>
          <w:rFonts w:cs="Arial"/>
          <w:szCs w:val="22"/>
        </w:rPr>
        <w:t xml:space="preserve"> du patient en limitant ses activités quotidiennes et en altérant de façon notable l’appétit, le sommeil, l’humeur et les relations sociales</w:t>
      </w:r>
      <w:r w:rsidR="00B060A1">
        <w:rPr>
          <w:rFonts w:cs="Arial"/>
          <w:b/>
          <w:bCs/>
          <w:color w:val="00B050"/>
          <w:szCs w:val="22"/>
        </w:rPr>
        <w:t>.</w:t>
      </w:r>
    </w:p>
    <w:p w14:paraId="0FB7263B" w14:textId="77777777" w:rsidR="00E45673" w:rsidRPr="009D588A" w:rsidRDefault="00E45673" w:rsidP="00E45673">
      <w:pPr>
        <w:rPr>
          <w:rFonts w:cs="Arial"/>
          <w:szCs w:val="22"/>
        </w:rPr>
      </w:pPr>
      <w:r w:rsidRPr="009D588A">
        <w:rPr>
          <w:b/>
          <w:iCs/>
          <w:szCs w:val="22"/>
        </w:rPr>
        <w:sym w:font="Wingdings 2" w:char="F0BB"/>
      </w:r>
      <w:r w:rsidRPr="009D588A">
        <w:rPr>
          <w:rFonts w:cs="Arial"/>
          <w:szCs w:val="22"/>
        </w:rPr>
        <w:t xml:space="preserve"> </w:t>
      </w:r>
      <w:r w:rsidR="00AB5E7A">
        <w:rPr>
          <w:rFonts w:cs="Arial"/>
          <w:szCs w:val="22"/>
        </w:rPr>
        <w:t>Les</w:t>
      </w:r>
      <w:r>
        <w:rPr>
          <w:rFonts w:cs="Arial"/>
          <w:szCs w:val="22"/>
        </w:rPr>
        <w:t xml:space="preserve"> spécialité</w:t>
      </w:r>
      <w:r w:rsidR="00AB5E7A">
        <w:rPr>
          <w:rFonts w:cs="Arial"/>
          <w:szCs w:val="22"/>
        </w:rPr>
        <w:t>s</w:t>
      </w:r>
      <w:r>
        <w:rPr>
          <w:rFonts w:cs="Arial"/>
          <w:szCs w:val="22"/>
        </w:rPr>
        <w:t xml:space="preserve"> </w:t>
      </w:r>
      <w:r w:rsidR="00AB5E7A">
        <w:rPr>
          <w:rFonts w:cs="Arial"/>
          <w:szCs w:val="22"/>
        </w:rPr>
        <w:t>ZORYON</w:t>
      </w:r>
      <w:r>
        <w:rPr>
          <w:rFonts w:cs="Arial"/>
          <w:szCs w:val="22"/>
        </w:rPr>
        <w:t xml:space="preserve"> entre</w:t>
      </w:r>
      <w:r w:rsidR="00AB5E7A">
        <w:rPr>
          <w:rFonts w:cs="Arial"/>
          <w:szCs w:val="22"/>
        </w:rPr>
        <w:t>nt</w:t>
      </w:r>
      <w:r>
        <w:rPr>
          <w:rFonts w:cs="Arial"/>
          <w:szCs w:val="22"/>
        </w:rPr>
        <w:t xml:space="preserve"> dans le cadre d’un traitement symptomatique.</w:t>
      </w:r>
    </w:p>
    <w:p w14:paraId="00424F53" w14:textId="07AFBFE3" w:rsidR="00E45673" w:rsidRPr="007A07A8" w:rsidRDefault="00E45673" w:rsidP="00E45673">
      <w:pPr>
        <w:rPr>
          <w:rFonts w:cs="Arial"/>
          <w:szCs w:val="22"/>
        </w:rPr>
      </w:pPr>
      <w:r w:rsidRPr="007A07A8">
        <w:rPr>
          <w:b/>
          <w:iCs/>
          <w:szCs w:val="22"/>
        </w:rPr>
        <w:sym w:font="Wingdings 2" w:char="F0BB"/>
      </w:r>
      <w:r w:rsidRPr="007A07A8">
        <w:rPr>
          <w:rFonts w:cs="Arial"/>
          <w:szCs w:val="22"/>
        </w:rPr>
        <w:t xml:space="preserve"> </w:t>
      </w:r>
      <w:r w:rsidR="00AB5E7A">
        <w:rPr>
          <w:rFonts w:cs="Arial"/>
          <w:szCs w:val="22"/>
        </w:rPr>
        <w:t>Leur</w:t>
      </w:r>
      <w:r>
        <w:rPr>
          <w:rFonts w:cs="Arial"/>
          <w:szCs w:val="22"/>
        </w:rPr>
        <w:t xml:space="preserve"> rapport efficacité/effets indésirables </w:t>
      </w:r>
      <w:r w:rsidR="00AB5E7A">
        <w:rPr>
          <w:rFonts w:cs="Arial"/>
          <w:szCs w:val="22"/>
        </w:rPr>
        <w:t xml:space="preserve">est </w:t>
      </w:r>
      <w:r w:rsidR="008451EF">
        <w:rPr>
          <w:rFonts w:cs="Arial"/>
          <w:szCs w:val="22"/>
        </w:rPr>
        <w:t>important</w:t>
      </w:r>
      <w:r w:rsidR="009D2CF8">
        <w:rPr>
          <w:rFonts w:cs="Arial"/>
          <w:szCs w:val="22"/>
        </w:rPr>
        <w:t xml:space="preserve"> dans l’indication</w:t>
      </w:r>
      <w:r>
        <w:rPr>
          <w:rFonts w:cs="Arial"/>
          <w:szCs w:val="22"/>
        </w:rPr>
        <w:t>.</w:t>
      </w:r>
    </w:p>
    <w:p w14:paraId="0AE9C4E0" w14:textId="444C8912" w:rsidR="00E45673" w:rsidRPr="009D588A" w:rsidRDefault="00E45673" w:rsidP="00E45673">
      <w:pPr>
        <w:rPr>
          <w:rFonts w:cs="Arial"/>
          <w:szCs w:val="22"/>
        </w:rPr>
      </w:pPr>
      <w:r w:rsidRPr="009D588A">
        <w:rPr>
          <w:b/>
          <w:iCs/>
          <w:szCs w:val="22"/>
        </w:rPr>
        <w:sym w:font="Wingdings 2" w:char="F0BB"/>
      </w:r>
      <w:r w:rsidRPr="009D588A">
        <w:rPr>
          <w:rFonts w:cs="Arial"/>
          <w:szCs w:val="22"/>
        </w:rPr>
        <w:t xml:space="preserve"> </w:t>
      </w:r>
      <w:r w:rsidR="00980C95">
        <w:rPr>
          <w:rFonts w:cs="Arial"/>
          <w:szCs w:val="22"/>
        </w:rPr>
        <w:t xml:space="preserve">Les </w:t>
      </w:r>
      <w:r>
        <w:rPr>
          <w:rFonts w:cs="Arial"/>
          <w:szCs w:val="22"/>
        </w:rPr>
        <w:t>alternatives thérapeutiques</w:t>
      </w:r>
      <w:r w:rsidR="00AB5E7A">
        <w:rPr>
          <w:rFonts w:cs="Arial"/>
          <w:szCs w:val="22"/>
        </w:rPr>
        <w:t xml:space="preserve"> </w:t>
      </w:r>
      <w:r w:rsidR="00980C95">
        <w:rPr>
          <w:rFonts w:cs="Arial"/>
          <w:szCs w:val="22"/>
        </w:rPr>
        <w:t>sont les antalgiques de palier</w:t>
      </w:r>
      <w:r w:rsidR="00FD0660">
        <w:rPr>
          <w:rFonts w:cs="Arial"/>
          <w:szCs w:val="22"/>
        </w:rPr>
        <w:t xml:space="preserve"> III</w:t>
      </w:r>
      <w:r w:rsidR="00980C95">
        <w:rPr>
          <w:rFonts w:cs="Arial"/>
          <w:szCs w:val="22"/>
        </w:rPr>
        <w:t xml:space="preserve"> utilisés dans le cadre d’une rotation d’opioïde</w:t>
      </w:r>
      <w:r>
        <w:rPr>
          <w:rFonts w:cs="Arial"/>
          <w:szCs w:val="22"/>
        </w:rPr>
        <w:t>.</w:t>
      </w:r>
    </w:p>
    <w:p w14:paraId="45326ED0" w14:textId="163C7C8B" w:rsidR="00E45673" w:rsidRDefault="00E45673" w:rsidP="00E45673">
      <w:pPr>
        <w:rPr>
          <w:rFonts w:cs="Arial"/>
          <w:szCs w:val="22"/>
        </w:rPr>
      </w:pPr>
      <w:r w:rsidRPr="00434D38">
        <w:rPr>
          <w:b/>
          <w:iCs/>
          <w:szCs w:val="22"/>
        </w:rPr>
        <w:sym w:font="Wingdings 2" w:char="F0BB"/>
      </w:r>
      <w:r w:rsidRPr="00434D38">
        <w:rPr>
          <w:rFonts w:cs="Arial"/>
          <w:szCs w:val="22"/>
        </w:rPr>
        <w:t xml:space="preserve"> </w:t>
      </w:r>
      <w:r w:rsidR="00671496">
        <w:rPr>
          <w:rFonts w:cs="Arial"/>
          <w:szCs w:val="22"/>
        </w:rPr>
        <w:t xml:space="preserve">ZORYON </w:t>
      </w:r>
      <w:r w:rsidR="00D6176C">
        <w:rPr>
          <w:rFonts w:cs="Arial"/>
          <w:szCs w:val="22"/>
        </w:rPr>
        <w:t xml:space="preserve">est </w:t>
      </w:r>
      <w:r w:rsidR="008451EF">
        <w:rPr>
          <w:rFonts w:cs="Arial"/>
          <w:szCs w:val="22"/>
        </w:rPr>
        <w:t>une</w:t>
      </w:r>
      <w:r w:rsidR="008451EF" w:rsidRPr="000E2653">
        <w:rPr>
          <w:rFonts w:cs="Arial"/>
          <w:szCs w:val="22"/>
        </w:rPr>
        <w:t xml:space="preserve"> option thérapeutique</w:t>
      </w:r>
      <w:r w:rsidR="008451EF">
        <w:rPr>
          <w:rFonts w:cs="Arial"/>
          <w:szCs w:val="22"/>
        </w:rPr>
        <w:t xml:space="preserve"> non invasive supplémentaire </w:t>
      </w:r>
      <w:r w:rsidRPr="000E2653">
        <w:rPr>
          <w:rFonts w:cs="Arial"/>
          <w:szCs w:val="22"/>
        </w:rPr>
        <w:t xml:space="preserve">dans le traitement </w:t>
      </w:r>
      <w:r w:rsidR="00D6176C">
        <w:rPr>
          <w:rFonts w:cs="Arial"/>
          <w:szCs w:val="22"/>
        </w:rPr>
        <w:t xml:space="preserve">de fond </w:t>
      </w:r>
      <w:r w:rsidRPr="000E2653">
        <w:rPr>
          <w:rFonts w:cs="Arial"/>
          <w:szCs w:val="22"/>
        </w:rPr>
        <w:t xml:space="preserve">des douleurs </w:t>
      </w:r>
      <w:r w:rsidR="00D6176C">
        <w:rPr>
          <w:rFonts w:cs="Arial"/>
          <w:szCs w:val="22"/>
        </w:rPr>
        <w:t xml:space="preserve">d’intensité modérée à sévère </w:t>
      </w:r>
      <w:r w:rsidR="00D6176C" w:rsidRPr="0063293E">
        <w:rPr>
          <w:bCs/>
          <w:szCs w:val="22"/>
        </w:rPr>
        <w:t xml:space="preserve">chez les patients </w:t>
      </w:r>
      <w:r w:rsidR="00D6176C">
        <w:rPr>
          <w:bCs/>
          <w:szCs w:val="22"/>
        </w:rPr>
        <w:t>non</w:t>
      </w:r>
      <w:r w:rsidR="00D6176C" w:rsidRPr="0063293E">
        <w:rPr>
          <w:bCs/>
          <w:szCs w:val="22"/>
        </w:rPr>
        <w:t xml:space="preserve"> soulagés de façon adéquate par d’autres opioïdes de palier </w:t>
      </w:r>
      <w:r w:rsidR="00FD0660">
        <w:rPr>
          <w:bCs/>
          <w:szCs w:val="22"/>
        </w:rPr>
        <w:t>III</w:t>
      </w:r>
      <w:r w:rsidRPr="00B81F89">
        <w:rPr>
          <w:rFonts w:cs="Arial"/>
          <w:szCs w:val="22"/>
        </w:rPr>
        <w:t>.</w:t>
      </w:r>
    </w:p>
    <w:p w14:paraId="3AD1F493" w14:textId="77777777" w:rsidR="00E45673" w:rsidRPr="009D588A" w:rsidRDefault="00E45673" w:rsidP="00E45673">
      <w:pPr>
        <w:rPr>
          <w:rFonts w:cs="Arial"/>
          <w:szCs w:val="22"/>
        </w:rPr>
      </w:pPr>
    </w:p>
    <w:p w14:paraId="23A07FD9" w14:textId="77777777" w:rsidR="00E45673" w:rsidRPr="0033085E" w:rsidRDefault="00E45673" w:rsidP="001B69D4">
      <w:pPr>
        <w:ind w:left="284"/>
        <w:rPr>
          <w:rFonts w:cs="Arial"/>
          <w:szCs w:val="22"/>
          <w:u w:val="single"/>
        </w:rPr>
      </w:pPr>
      <w:r w:rsidRPr="0033085E">
        <w:rPr>
          <w:rFonts w:cs="Arial"/>
          <w:szCs w:val="22"/>
          <w:u w:val="single"/>
        </w:rPr>
        <w:t>Intérêt de Santé Publique</w:t>
      </w:r>
      <w:r w:rsidRPr="0033085E">
        <w:rPr>
          <w:rFonts w:cs="Arial"/>
          <w:szCs w:val="22"/>
        </w:rPr>
        <w:t> :</w:t>
      </w:r>
    </w:p>
    <w:p w14:paraId="2D9F3718" w14:textId="4E79328F" w:rsidR="0052617C" w:rsidRDefault="00AB7C09" w:rsidP="001B69D4">
      <w:pPr>
        <w:ind w:left="284"/>
        <w:rPr>
          <w:rFonts w:cs="Arial"/>
          <w:szCs w:val="22"/>
        </w:rPr>
      </w:pPr>
      <w:r>
        <w:rPr>
          <w:rFonts w:cs="Arial"/>
          <w:szCs w:val="22"/>
        </w:rPr>
        <w:t>Compte tenu</w:t>
      </w:r>
      <w:r w:rsidR="0052617C">
        <w:rPr>
          <w:rFonts w:cs="Arial"/>
          <w:szCs w:val="22"/>
        </w:rPr>
        <w:t xml:space="preserve"> : </w:t>
      </w:r>
    </w:p>
    <w:p w14:paraId="6CB0286C" w14:textId="501DCD23" w:rsidR="00E45673" w:rsidRDefault="00EA50C2" w:rsidP="001B69D4">
      <w:pPr>
        <w:pStyle w:val="Paragraphedeliste"/>
        <w:numPr>
          <w:ilvl w:val="0"/>
          <w:numId w:val="1"/>
        </w:numPr>
        <w:tabs>
          <w:tab w:val="clear" w:pos="720"/>
        </w:tabs>
        <w:ind w:left="567" w:hanging="283"/>
        <w:rPr>
          <w:rFonts w:cs="Arial"/>
          <w:szCs w:val="22"/>
        </w:rPr>
      </w:pPr>
      <w:r>
        <w:rPr>
          <w:rFonts w:cs="Arial"/>
          <w:szCs w:val="22"/>
        </w:rPr>
        <w:t xml:space="preserve">de </w:t>
      </w:r>
      <w:r w:rsidR="00E45673" w:rsidRPr="0052617C">
        <w:rPr>
          <w:rFonts w:cs="Arial"/>
          <w:szCs w:val="22"/>
        </w:rPr>
        <w:t>la répercuss</w:t>
      </w:r>
      <w:r w:rsidR="00AB5E7A" w:rsidRPr="0052617C">
        <w:rPr>
          <w:rFonts w:cs="Arial"/>
          <w:szCs w:val="22"/>
        </w:rPr>
        <w:t>ion psychosociale importante de</w:t>
      </w:r>
      <w:r w:rsidR="00215368">
        <w:rPr>
          <w:rFonts w:cs="Arial"/>
          <w:szCs w:val="22"/>
        </w:rPr>
        <w:t>s</w:t>
      </w:r>
      <w:r w:rsidR="00AB5E7A" w:rsidRPr="0052617C">
        <w:rPr>
          <w:rFonts w:cs="Arial"/>
          <w:szCs w:val="22"/>
        </w:rPr>
        <w:t xml:space="preserve"> douleurs</w:t>
      </w:r>
      <w:r w:rsidR="00E45673" w:rsidRPr="0052617C">
        <w:rPr>
          <w:rFonts w:cs="Arial"/>
          <w:szCs w:val="22"/>
        </w:rPr>
        <w:t xml:space="preserve"> </w:t>
      </w:r>
      <w:r w:rsidR="001B69D4">
        <w:rPr>
          <w:rFonts w:cs="Arial"/>
          <w:szCs w:val="22"/>
        </w:rPr>
        <w:t xml:space="preserve">d’origine cancéreuse </w:t>
      </w:r>
      <w:r w:rsidR="001B69D4">
        <w:rPr>
          <w:bCs/>
          <w:szCs w:val="22"/>
        </w:rPr>
        <w:t>instables ou difficiles à soulager</w:t>
      </w:r>
      <w:r w:rsidR="00131B4D">
        <w:rPr>
          <w:rFonts w:cs="Arial"/>
          <w:szCs w:val="22"/>
        </w:rPr>
        <w:t>,</w:t>
      </w:r>
    </w:p>
    <w:p w14:paraId="6C74ABEA" w14:textId="225399F3" w:rsidR="00AB7C09" w:rsidRDefault="00EA50C2" w:rsidP="00AB7C09">
      <w:pPr>
        <w:numPr>
          <w:ilvl w:val="0"/>
          <w:numId w:val="1"/>
        </w:numPr>
        <w:tabs>
          <w:tab w:val="clear" w:pos="720"/>
        </w:tabs>
        <w:ind w:left="567" w:hanging="283"/>
        <w:contextualSpacing/>
        <w:rPr>
          <w:rFonts w:cs="Arial"/>
          <w:szCs w:val="22"/>
        </w:rPr>
      </w:pPr>
      <w:r>
        <w:rPr>
          <w:rFonts w:cs="Arial"/>
          <w:szCs w:val="22"/>
        </w:rPr>
        <w:t xml:space="preserve">de </w:t>
      </w:r>
      <w:r w:rsidR="00AB7C09">
        <w:rPr>
          <w:rFonts w:cs="Arial"/>
          <w:szCs w:val="22"/>
        </w:rPr>
        <w:t>la faible prévalence de ces douleurs</w:t>
      </w:r>
      <w:r w:rsidR="00AB7C09" w:rsidRPr="007A07A8">
        <w:rPr>
          <w:rFonts w:cs="Arial"/>
          <w:szCs w:val="22"/>
        </w:rPr>
        <w:t>,</w:t>
      </w:r>
    </w:p>
    <w:p w14:paraId="35505D0A" w14:textId="51F4A07A" w:rsidR="00AB7C09" w:rsidRDefault="00AB7C09" w:rsidP="001B69D4">
      <w:pPr>
        <w:pStyle w:val="Paragraphedeliste"/>
        <w:numPr>
          <w:ilvl w:val="0"/>
          <w:numId w:val="1"/>
        </w:numPr>
        <w:tabs>
          <w:tab w:val="clear" w:pos="720"/>
        </w:tabs>
        <w:ind w:left="567" w:hanging="283"/>
        <w:rPr>
          <w:rFonts w:cs="Arial"/>
          <w:szCs w:val="22"/>
        </w:rPr>
      </w:pPr>
      <w:r>
        <w:rPr>
          <w:rFonts w:cs="Arial"/>
          <w:szCs w:val="22"/>
        </w:rPr>
        <w:t>du besoin médical partiellement couvert</w:t>
      </w:r>
      <w:r w:rsidR="0077713E">
        <w:rPr>
          <w:rFonts w:cs="Arial"/>
          <w:szCs w:val="22"/>
        </w:rPr>
        <w:t xml:space="preserve"> dans ces situations,</w:t>
      </w:r>
    </w:p>
    <w:p w14:paraId="3D64A78E" w14:textId="7C45B7C5" w:rsidR="00626800" w:rsidRPr="0077713E" w:rsidRDefault="00EA50C2" w:rsidP="000707BB">
      <w:pPr>
        <w:numPr>
          <w:ilvl w:val="0"/>
          <w:numId w:val="1"/>
        </w:numPr>
        <w:tabs>
          <w:tab w:val="clear" w:pos="720"/>
        </w:tabs>
        <w:ind w:left="567" w:hanging="283"/>
        <w:contextualSpacing/>
        <w:rPr>
          <w:rFonts w:cs="Arial"/>
          <w:szCs w:val="22"/>
        </w:rPr>
      </w:pPr>
      <w:r>
        <w:rPr>
          <w:rFonts w:cs="Arial"/>
          <w:szCs w:val="22"/>
        </w:rPr>
        <w:t xml:space="preserve">de </w:t>
      </w:r>
      <w:r w:rsidR="0077713E" w:rsidRPr="0077713E">
        <w:rPr>
          <w:rFonts w:cs="Arial"/>
          <w:szCs w:val="22"/>
        </w:rPr>
        <w:t>l’abs</w:t>
      </w:r>
      <w:r w:rsidR="006E5E87">
        <w:rPr>
          <w:rFonts w:cs="Arial"/>
          <w:szCs w:val="22"/>
        </w:rPr>
        <w:t>e</w:t>
      </w:r>
      <w:r w:rsidR="0077713E" w:rsidRPr="0077713E">
        <w:rPr>
          <w:rFonts w:cs="Arial"/>
          <w:szCs w:val="22"/>
        </w:rPr>
        <w:t xml:space="preserve">nce de réponse supplémentaire </w:t>
      </w:r>
      <w:r w:rsidR="00CF5A4F">
        <w:rPr>
          <w:rFonts w:cs="Arial"/>
          <w:szCs w:val="22"/>
        </w:rPr>
        <w:t xml:space="preserve">apportée </w:t>
      </w:r>
      <w:r w:rsidR="0077713E" w:rsidRPr="0077713E">
        <w:rPr>
          <w:rFonts w:cs="Arial"/>
          <w:szCs w:val="22"/>
        </w:rPr>
        <w:t xml:space="preserve">au besoin médical </w:t>
      </w:r>
      <w:r w:rsidR="0077713E">
        <w:rPr>
          <w:rFonts w:cs="Arial"/>
          <w:szCs w:val="22"/>
        </w:rPr>
        <w:t xml:space="preserve">chez </w:t>
      </w:r>
      <w:r w:rsidR="00CF5A4F">
        <w:rPr>
          <w:rFonts w:cs="Arial"/>
          <w:szCs w:val="22"/>
        </w:rPr>
        <w:t>l</w:t>
      </w:r>
      <w:r w:rsidR="0077713E">
        <w:rPr>
          <w:rFonts w:cs="Arial"/>
          <w:szCs w:val="22"/>
        </w:rPr>
        <w:t xml:space="preserve">es </w:t>
      </w:r>
      <w:r w:rsidR="00D36D0F" w:rsidRPr="00F157A3">
        <w:rPr>
          <w:rFonts w:cs="Arial"/>
          <w:szCs w:val="22"/>
          <w:shd w:val="clear" w:color="auto" w:fill="FFFFFF"/>
        </w:rPr>
        <w:t xml:space="preserve">patients </w:t>
      </w:r>
      <w:r w:rsidR="006B1854">
        <w:rPr>
          <w:rFonts w:cs="Arial"/>
          <w:szCs w:val="22"/>
          <w:shd w:val="clear" w:color="auto" w:fill="FFFFFF"/>
        </w:rPr>
        <w:t xml:space="preserve">insuffisamment </w:t>
      </w:r>
      <w:r w:rsidR="006B1854" w:rsidRPr="00F157A3">
        <w:rPr>
          <w:rFonts w:cs="Arial"/>
          <w:szCs w:val="22"/>
          <w:shd w:val="clear" w:color="auto" w:fill="FFFFFF"/>
        </w:rPr>
        <w:t xml:space="preserve">soulagés </w:t>
      </w:r>
      <w:r w:rsidR="00D36D0F" w:rsidRPr="00F157A3">
        <w:rPr>
          <w:rFonts w:cs="Arial"/>
          <w:szCs w:val="22"/>
          <w:shd w:val="clear" w:color="auto" w:fill="FFFFFF"/>
        </w:rPr>
        <w:t xml:space="preserve">ou </w:t>
      </w:r>
      <w:r w:rsidR="006B1854">
        <w:rPr>
          <w:rFonts w:cs="Arial"/>
          <w:szCs w:val="22"/>
          <w:shd w:val="clear" w:color="auto" w:fill="FFFFFF"/>
        </w:rPr>
        <w:t>qui</w:t>
      </w:r>
      <w:r w:rsidR="00D36D0F" w:rsidRPr="00F157A3">
        <w:rPr>
          <w:rFonts w:cs="Arial"/>
          <w:szCs w:val="22"/>
          <w:shd w:val="clear" w:color="auto" w:fill="FFFFFF"/>
        </w:rPr>
        <w:t xml:space="preserve"> ressentent des effets indésirables sévères limitant l’augmentation des doses d’opioïdes</w:t>
      </w:r>
      <w:r w:rsidR="00D36D0F">
        <w:rPr>
          <w:rFonts w:cs="Arial"/>
          <w:szCs w:val="22"/>
          <w:shd w:val="clear" w:color="auto" w:fill="FFFFFF"/>
        </w:rPr>
        <w:t>,</w:t>
      </w:r>
      <w:r w:rsidR="006B1854" w:rsidRPr="006B1854">
        <w:rPr>
          <w:rFonts w:cs="Arial"/>
          <w:szCs w:val="22"/>
          <w:shd w:val="clear" w:color="auto" w:fill="FFFFFF"/>
        </w:rPr>
        <w:t xml:space="preserve"> </w:t>
      </w:r>
    </w:p>
    <w:p w14:paraId="1754F0D4" w14:textId="19A7FF1F" w:rsidR="0076528F" w:rsidRPr="00F51C8A" w:rsidRDefault="00626800" w:rsidP="001B69D4">
      <w:pPr>
        <w:numPr>
          <w:ilvl w:val="0"/>
          <w:numId w:val="1"/>
        </w:numPr>
        <w:tabs>
          <w:tab w:val="clear" w:pos="720"/>
        </w:tabs>
        <w:ind w:left="567" w:hanging="283"/>
        <w:contextualSpacing/>
        <w:rPr>
          <w:rFonts w:cs="Arial"/>
          <w:szCs w:val="22"/>
        </w:rPr>
      </w:pPr>
      <w:r>
        <w:rPr>
          <w:rFonts w:cs="Arial"/>
          <w:szCs w:val="22"/>
        </w:rPr>
        <w:t>et</w:t>
      </w:r>
      <w:r w:rsidR="00EA50C2">
        <w:rPr>
          <w:rFonts w:cs="Arial"/>
          <w:szCs w:val="22"/>
        </w:rPr>
        <w:t xml:space="preserve"> de</w:t>
      </w:r>
      <w:r>
        <w:rPr>
          <w:rFonts w:cs="Arial"/>
          <w:szCs w:val="22"/>
        </w:rPr>
        <w:t xml:space="preserve"> </w:t>
      </w:r>
      <w:r w:rsidR="00E75B0F">
        <w:rPr>
          <w:rFonts w:cs="Arial"/>
          <w:szCs w:val="22"/>
        </w:rPr>
        <w:t>l’abs</w:t>
      </w:r>
      <w:r w:rsidR="000707BB">
        <w:rPr>
          <w:rFonts w:cs="Arial"/>
          <w:szCs w:val="22"/>
        </w:rPr>
        <w:t>e</w:t>
      </w:r>
      <w:r w:rsidR="00E75B0F">
        <w:rPr>
          <w:rFonts w:cs="Arial"/>
          <w:szCs w:val="22"/>
        </w:rPr>
        <w:t>nce d’impact démontré sur l’organisation des soins</w:t>
      </w:r>
      <w:r w:rsidR="000707BB">
        <w:rPr>
          <w:rFonts w:cs="Arial"/>
          <w:szCs w:val="22"/>
        </w:rPr>
        <w:t>,</w:t>
      </w:r>
    </w:p>
    <w:p w14:paraId="3FD09B07" w14:textId="043DE93E" w:rsidR="00E45673" w:rsidRDefault="00AB5E7A" w:rsidP="001B69D4">
      <w:pPr>
        <w:ind w:left="567" w:hanging="283"/>
        <w:rPr>
          <w:rFonts w:cs="Arial"/>
          <w:szCs w:val="22"/>
        </w:rPr>
      </w:pPr>
      <w:r w:rsidRPr="00F51C8A">
        <w:rPr>
          <w:rFonts w:cs="Arial"/>
          <w:szCs w:val="22"/>
        </w:rPr>
        <w:t>ZO</w:t>
      </w:r>
      <w:r w:rsidR="0044090E" w:rsidRPr="00F51C8A">
        <w:rPr>
          <w:rFonts w:cs="Arial"/>
          <w:szCs w:val="22"/>
        </w:rPr>
        <w:t>R</w:t>
      </w:r>
      <w:r w:rsidRPr="00F51C8A">
        <w:rPr>
          <w:rFonts w:cs="Arial"/>
          <w:szCs w:val="22"/>
        </w:rPr>
        <w:t>Y</w:t>
      </w:r>
      <w:r w:rsidR="0044090E" w:rsidRPr="00F51C8A">
        <w:rPr>
          <w:rFonts w:cs="Arial"/>
          <w:szCs w:val="22"/>
        </w:rPr>
        <w:t>O</w:t>
      </w:r>
      <w:r w:rsidRPr="00F51C8A">
        <w:rPr>
          <w:rFonts w:cs="Arial"/>
          <w:szCs w:val="22"/>
        </w:rPr>
        <w:t>N</w:t>
      </w:r>
      <w:r w:rsidR="00E45673" w:rsidRPr="00F51C8A">
        <w:rPr>
          <w:rFonts w:cs="Arial"/>
          <w:szCs w:val="22"/>
        </w:rPr>
        <w:t xml:space="preserve"> n’</w:t>
      </w:r>
      <w:r w:rsidR="00190F9B" w:rsidRPr="00F51C8A">
        <w:rPr>
          <w:rFonts w:cs="Arial"/>
          <w:szCs w:val="22"/>
        </w:rPr>
        <w:t>est</w:t>
      </w:r>
      <w:r w:rsidR="00E45673" w:rsidRPr="00F51C8A">
        <w:rPr>
          <w:rFonts w:cs="Arial"/>
          <w:szCs w:val="22"/>
        </w:rPr>
        <w:t xml:space="preserve"> </w:t>
      </w:r>
      <w:r w:rsidR="0052617C" w:rsidRPr="00F51C8A">
        <w:rPr>
          <w:rFonts w:cs="Arial"/>
          <w:szCs w:val="22"/>
        </w:rPr>
        <w:t xml:space="preserve">pas </w:t>
      </w:r>
      <w:r w:rsidR="00E45673" w:rsidRPr="00F51C8A">
        <w:rPr>
          <w:rFonts w:cs="Arial"/>
          <w:szCs w:val="22"/>
        </w:rPr>
        <w:t xml:space="preserve">susceptible d’avoir un impact sur la santé publique. </w:t>
      </w:r>
    </w:p>
    <w:p w14:paraId="40D83EF9" w14:textId="77777777" w:rsidR="00E45673" w:rsidRPr="009D588A" w:rsidRDefault="00E45673" w:rsidP="00E45673">
      <w:pPr>
        <w:rPr>
          <w:rFonts w:cs="Arial"/>
          <w:szCs w:val="22"/>
        </w:rPr>
      </w:pPr>
    </w:p>
    <w:p w14:paraId="42F4B1B8" w14:textId="77AD52BF" w:rsidR="00690F1A" w:rsidRPr="00F51C8A" w:rsidRDefault="00357F81" w:rsidP="0044090E">
      <w:pPr>
        <w:rPr>
          <w:b/>
        </w:rPr>
      </w:pPr>
      <w:r w:rsidRPr="00357F81">
        <w:rPr>
          <w:b/>
        </w:rPr>
        <w:t>Compte tenu de l’ensemble de c</w:t>
      </w:r>
      <w:r>
        <w:rPr>
          <w:b/>
        </w:rPr>
        <w:t>es éléments</w:t>
      </w:r>
      <w:r w:rsidR="00E45673" w:rsidRPr="00357F81">
        <w:rPr>
          <w:b/>
          <w:bCs/>
        </w:rPr>
        <w:t>, la</w:t>
      </w:r>
      <w:r w:rsidR="00E45673" w:rsidRPr="009D588A">
        <w:rPr>
          <w:b/>
          <w:bCs/>
        </w:rPr>
        <w:t xml:space="preserve"> Commission considère que le service médical rendu par </w:t>
      </w:r>
      <w:r w:rsidR="00AB5E7A">
        <w:rPr>
          <w:b/>
          <w:bCs/>
        </w:rPr>
        <w:t>ZORYON</w:t>
      </w:r>
      <w:r w:rsidR="00E45673" w:rsidRPr="009D588A">
        <w:rPr>
          <w:b/>
          <w:bCs/>
        </w:rPr>
        <w:t xml:space="preserve"> est </w:t>
      </w:r>
      <w:r w:rsidR="006430B2" w:rsidRPr="00F51C8A">
        <w:rPr>
          <w:b/>
          <w:bCs/>
        </w:rPr>
        <w:t>important</w:t>
      </w:r>
      <w:r w:rsidR="004B36EE" w:rsidRPr="00F51C8A">
        <w:rPr>
          <w:b/>
          <w:bCs/>
          <w:color w:val="000000" w:themeColor="text1"/>
        </w:rPr>
        <w:t xml:space="preserve"> </w:t>
      </w:r>
      <w:r w:rsidR="00357E4B" w:rsidRPr="00F51C8A">
        <w:rPr>
          <w:b/>
          <w:color w:val="000000" w:themeColor="text1"/>
        </w:rPr>
        <w:t>dans l</w:t>
      </w:r>
      <w:r w:rsidR="004B36EE" w:rsidRPr="00F51C8A">
        <w:rPr>
          <w:b/>
          <w:color w:val="000000" w:themeColor="text1"/>
        </w:rPr>
        <w:t>’</w:t>
      </w:r>
      <w:r w:rsidR="00357E4B" w:rsidRPr="00F51C8A">
        <w:rPr>
          <w:b/>
          <w:color w:val="000000" w:themeColor="text1"/>
        </w:rPr>
        <w:t>indication de l’AMM.</w:t>
      </w:r>
    </w:p>
    <w:p w14:paraId="4052C2D3" w14:textId="77777777" w:rsidR="00690F1A" w:rsidRDefault="00690F1A" w:rsidP="0044090E">
      <w:pPr>
        <w:rPr>
          <w:rFonts w:cs="Arial"/>
          <w:szCs w:val="22"/>
        </w:rPr>
      </w:pPr>
    </w:p>
    <w:p w14:paraId="4208F078" w14:textId="48428388" w:rsidR="00690F1A" w:rsidRPr="00B90CEA" w:rsidRDefault="00690F1A" w:rsidP="0044090E">
      <w:pPr>
        <w:pStyle w:val="AmmCorpsTexte"/>
        <w:spacing w:after="0"/>
        <w:rPr>
          <w:b/>
          <w:sz w:val="22"/>
          <w:szCs w:val="22"/>
        </w:rPr>
      </w:pPr>
      <w:r>
        <w:rPr>
          <w:b/>
          <w:sz w:val="22"/>
          <w:szCs w:val="22"/>
        </w:rPr>
        <w:t>La Commission donne un a</w:t>
      </w:r>
      <w:r w:rsidRPr="00B90CEA">
        <w:rPr>
          <w:b/>
          <w:sz w:val="22"/>
          <w:szCs w:val="22"/>
        </w:rPr>
        <w:t>vi</w:t>
      </w:r>
      <w:r w:rsidR="006430B2">
        <w:rPr>
          <w:b/>
          <w:sz w:val="22"/>
          <w:szCs w:val="22"/>
        </w:rPr>
        <w:t xml:space="preserve">s </w:t>
      </w:r>
      <w:r w:rsidR="00AB5E7A">
        <w:rPr>
          <w:b/>
          <w:sz w:val="22"/>
          <w:szCs w:val="22"/>
        </w:rPr>
        <w:t>favorable à l'inscription</w:t>
      </w:r>
      <w:r w:rsidRPr="00B90CEA">
        <w:rPr>
          <w:b/>
          <w:sz w:val="22"/>
          <w:szCs w:val="22"/>
        </w:rPr>
        <w:t xml:space="preserve"> sur la liste des spécialités remboursables aux assurés s</w:t>
      </w:r>
      <w:r w:rsidR="00AB5E7A">
        <w:rPr>
          <w:b/>
          <w:sz w:val="22"/>
          <w:szCs w:val="22"/>
        </w:rPr>
        <w:t>ociaux et</w:t>
      </w:r>
      <w:r w:rsidRPr="00B90CEA">
        <w:rPr>
          <w:b/>
          <w:sz w:val="22"/>
          <w:szCs w:val="22"/>
        </w:rPr>
        <w:t xml:space="preserve"> sur la liste des spécialités agréées à l’usage des collectivités dans l’indication et aux posologies de l’AMM.</w:t>
      </w:r>
    </w:p>
    <w:p w14:paraId="6BFE00EF" w14:textId="77777777" w:rsidR="00690F1A" w:rsidRPr="00B90CEA" w:rsidRDefault="00690F1A" w:rsidP="00E4589D">
      <w:pPr>
        <w:rPr>
          <w:rFonts w:cs="Arial"/>
          <w:szCs w:val="22"/>
          <w:u w:val="single"/>
        </w:rPr>
      </w:pPr>
    </w:p>
    <w:p w14:paraId="0A76CCC2" w14:textId="74FE4FCD" w:rsidR="003B60E3" w:rsidRDefault="003B60E3" w:rsidP="003825E8">
      <w:pPr>
        <w:pStyle w:val="Titrepuce"/>
      </w:pPr>
      <w:r w:rsidRPr="0061014C">
        <w:t>T</w:t>
      </w:r>
      <w:r w:rsidR="008451EF">
        <w:t>aux de remboursement proposé : 65</w:t>
      </w:r>
      <w:r w:rsidRPr="0061014C">
        <w:t xml:space="preserve"> %</w:t>
      </w:r>
    </w:p>
    <w:p w14:paraId="628A1377" w14:textId="77777777" w:rsidR="003F5D35" w:rsidRPr="003F5D35" w:rsidRDefault="003F5D35" w:rsidP="003F5D35"/>
    <w:p w14:paraId="4F020258" w14:textId="77777777" w:rsidR="00690F1A" w:rsidRDefault="00690F1A" w:rsidP="00DA6BD6">
      <w:pPr>
        <w:pStyle w:val="Titre2"/>
      </w:pPr>
      <w:r w:rsidRPr="00C13E96">
        <w:t>Amélioration du Service Médical Rendu</w:t>
      </w:r>
    </w:p>
    <w:p w14:paraId="5AB02ACB" w14:textId="6982A89F" w:rsidR="00CA66D0" w:rsidRPr="00D45C2B" w:rsidRDefault="005D5AE0" w:rsidP="006430B2">
      <w:pPr>
        <w:autoSpaceDE w:val="0"/>
        <w:autoSpaceDN w:val="0"/>
        <w:adjustRightInd w:val="0"/>
        <w:ind w:left="284" w:hanging="284"/>
        <w:rPr>
          <w:rFonts w:eastAsia="Arial-BoldMT" w:cs="Arial"/>
          <w:b/>
          <w:bCs/>
          <w:szCs w:val="22"/>
        </w:rPr>
      </w:pPr>
      <w:r>
        <w:rPr>
          <w:rFonts w:eastAsia="Arial-BoldMT" w:cs="Arial"/>
          <w:b/>
          <w:bCs/>
          <w:szCs w:val="22"/>
        </w:rPr>
        <w:t>Prenant en compte</w:t>
      </w:r>
      <w:r w:rsidR="00822A38" w:rsidRPr="00D45C2B">
        <w:rPr>
          <w:rFonts w:eastAsia="Arial-BoldMT" w:cs="Arial"/>
          <w:b/>
          <w:bCs/>
          <w:szCs w:val="22"/>
        </w:rPr>
        <w:t> :</w:t>
      </w:r>
    </w:p>
    <w:p w14:paraId="2C043C3B" w14:textId="347C869F" w:rsidR="00CA66D0" w:rsidRDefault="00822A38" w:rsidP="00CA66D0">
      <w:pPr>
        <w:pStyle w:val="PrformatHTML"/>
        <w:numPr>
          <w:ilvl w:val="0"/>
          <w:numId w:val="1"/>
        </w:numPr>
        <w:tabs>
          <w:tab w:val="clear" w:pos="720"/>
        </w:tabs>
        <w:ind w:left="284" w:hanging="284"/>
        <w:jc w:val="both"/>
        <w:rPr>
          <w:rFonts w:ascii="Arial" w:hAnsi="Arial" w:cs="Arial"/>
          <w:b/>
          <w:sz w:val="22"/>
          <w:szCs w:val="22"/>
        </w:rPr>
      </w:pPr>
      <w:r w:rsidRPr="00D45C2B">
        <w:rPr>
          <w:rFonts w:ascii="Arial" w:hAnsi="Arial" w:cs="Arial"/>
          <w:b/>
          <w:sz w:val="22"/>
          <w:szCs w:val="22"/>
        </w:rPr>
        <w:t>l</w:t>
      </w:r>
      <w:r w:rsidR="00CA66D0" w:rsidRPr="00D45C2B">
        <w:rPr>
          <w:rFonts w:ascii="Arial" w:hAnsi="Arial" w:cs="Arial"/>
          <w:b/>
          <w:sz w:val="22"/>
          <w:szCs w:val="22"/>
        </w:rPr>
        <w:t xml:space="preserve">es </w:t>
      </w:r>
      <w:r w:rsidRPr="00D45C2B">
        <w:rPr>
          <w:rFonts w:ascii="Arial" w:hAnsi="Arial" w:cs="Arial"/>
          <w:b/>
          <w:sz w:val="22"/>
          <w:szCs w:val="22"/>
        </w:rPr>
        <w:t>propriétés</w:t>
      </w:r>
      <w:r w:rsidR="00CA66D0" w:rsidRPr="00D45C2B">
        <w:rPr>
          <w:rFonts w:ascii="Arial" w:hAnsi="Arial" w:cs="Arial"/>
          <w:b/>
          <w:sz w:val="22"/>
          <w:szCs w:val="22"/>
        </w:rPr>
        <w:t xml:space="preserve"> analgésiques </w:t>
      </w:r>
      <w:r w:rsidR="000579AF" w:rsidRPr="00D45C2B">
        <w:rPr>
          <w:rFonts w:ascii="Arial" w:hAnsi="Arial" w:cs="Arial"/>
          <w:b/>
          <w:sz w:val="22"/>
          <w:szCs w:val="22"/>
        </w:rPr>
        <w:t>connu</w:t>
      </w:r>
      <w:r w:rsidR="006041E7">
        <w:rPr>
          <w:rFonts w:ascii="Arial" w:hAnsi="Arial" w:cs="Arial"/>
          <w:b/>
          <w:sz w:val="22"/>
          <w:szCs w:val="22"/>
        </w:rPr>
        <w:t>e</w:t>
      </w:r>
      <w:r w:rsidR="000579AF" w:rsidRPr="00D45C2B">
        <w:rPr>
          <w:rFonts w:ascii="Arial" w:hAnsi="Arial" w:cs="Arial"/>
          <w:b/>
          <w:sz w:val="22"/>
          <w:szCs w:val="22"/>
        </w:rPr>
        <w:t xml:space="preserve">s </w:t>
      </w:r>
      <w:r w:rsidR="00D45C2B" w:rsidRPr="00D45C2B">
        <w:rPr>
          <w:rFonts w:ascii="Arial" w:hAnsi="Arial" w:cs="Arial"/>
          <w:b/>
          <w:sz w:val="22"/>
          <w:szCs w:val="22"/>
        </w:rPr>
        <w:t>de</w:t>
      </w:r>
      <w:r w:rsidR="00CA66D0" w:rsidRPr="00D45C2B">
        <w:rPr>
          <w:rFonts w:ascii="Arial" w:hAnsi="Arial" w:cs="Arial"/>
          <w:b/>
          <w:sz w:val="22"/>
          <w:szCs w:val="22"/>
        </w:rPr>
        <w:t xml:space="preserve"> la méthadone</w:t>
      </w:r>
      <w:r w:rsidRPr="00D45C2B">
        <w:rPr>
          <w:rFonts w:ascii="Arial" w:hAnsi="Arial" w:cs="Arial"/>
          <w:b/>
          <w:sz w:val="22"/>
          <w:szCs w:val="22"/>
        </w:rPr>
        <w:t xml:space="preserve"> </w:t>
      </w:r>
      <w:r w:rsidR="00D45C2B" w:rsidRPr="00D45C2B">
        <w:rPr>
          <w:rFonts w:ascii="Arial" w:hAnsi="Arial" w:cs="Arial"/>
          <w:b/>
          <w:sz w:val="22"/>
          <w:szCs w:val="22"/>
        </w:rPr>
        <w:t>et les don</w:t>
      </w:r>
      <w:r w:rsidR="00D45C2B">
        <w:rPr>
          <w:rFonts w:ascii="Arial" w:hAnsi="Arial" w:cs="Arial"/>
          <w:b/>
          <w:sz w:val="22"/>
          <w:szCs w:val="22"/>
        </w:rPr>
        <w:t>n</w:t>
      </w:r>
      <w:r w:rsidR="00D45C2B" w:rsidRPr="00D45C2B">
        <w:rPr>
          <w:rFonts w:ascii="Arial" w:hAnsi="Arial" w:cs="Arial"/>
          <w:b/>
          <w:sz w:val="22"/>
          <w:szCs w:val="22"/>
        </w:rPr>
        <w:t xml:space="preserve">ées cliniques </w:t>
      </w:r>
      <w:r w:rsidRPr="00D45C2B">
        <w:rPr>
          <w:rFonts w:ascii="Arial" w:hAnsi="Arial" w:cs="Arial"/>
          <w:b/>
          <w:sz w:val="22"/>
          <w:szCs w:val="22"/>
        </w:rPr>
        <w:t xml:space="preserve">qui </w:t>
      </w:r>
      <w:r w:rsidR="00CA66D0" w:rsidRPr="00D45C2B">
        <w:rPr>
          <w:rFonts w:ascii="Arial" w:hAnsi="Arial" w:cs="Arial"/>
          <w:b/>
          <w:sz w:val="22"/>
          <w:szCs w:val="22"/>
        </w:rPr>
        <w:t>plaident en fa</w:t>
      </w:r>
      <w:r w:rsidR="00AC39E8" w:rsidRPr="00D45C2B">
        <w:rPr>
          <w:rFonts w:ascii="Arial" w:hAnsi="Arial" w:cs="Arial"/>
          <w:b/>
          <w:sz w:val="22"/>
          <w:szCs w:val="22"/>
        </w:rPr>
        <w:t>veur d</w:t>
      </w:r>
      <w:r w:rsidR="00980C95">
        <w:rPr>
          <w:rFonts w:ascii="Arial" w:hAnsi="Arial" w:cs="Arial"/>
          <w:b/>
          <w:sz w:val="22"/>
          <w:szCs w:val="22"/>
        </w:rPr>
        <w:t>e l’</w:t>
      </w:r>
      <w:r w:rsidR="00AC39E8" w:rsidRPr="00D45C2B">
        <w:rPr>
          <w:rFonts w:ascii="Arial" w:hAnsi="Arial" w:cs="Arial"/>
          <w:b/>
          <w:sz w:val="22"/>
          <w:szCs w:val="22"/>
        </w:rPr>
        <w:t xml:space="preserve">efficacité du produit </w:t>
      </w:r>
      <w:r w:rsidR="00D45C2B">
        <w:rPr>
          <w:rFonts w:ascii="Arial" w:hAnsi="Arial" w:cs="Arial"/>
          <w:b/>
          <w:sz w:val="22"/>
          <w:szCs w:val="22"/>
        </w:rPr>
        <w:t xml:space="preserve">dans la prise en charge des douleurs d’origine cancéreuse chez les patients qui nécessitent </w:t>
      </w:r>
      <w:r w:rsidR="00FE7184">
        <w:rPr>
          <w:rFonts w:ascii="Arial" w:hAnsi="Arial" w:cs="Arial"/>
          <w:b/>
          <w:sz w:val="22"/>
          <w:szCs w:val="22"/>
        </w:rPr>
        <w:t xml:space="preserve">une rotation d’opioïde </w:t>
      </w:r>
      <w:r w:rsidR="00D45C2B">
        <w:rPr>
          <w:rFonts w:ascii="Arial" w:hAnsi="Arial" w:cs="Arial"/>
          <w:b/>
          <w:sz w:val="22"/>
          <w:szCs w:val="22"/>
        </w:rPr>
        <w:t xml:space="preserve">de palier </w:t>
      </w:r>
      <w:r w:rsidR="00FD0660">
        <w:rPr>
          <w:rFonts w:ascii="Arial" w:hAnsi="Arial" w:cs="Arial"/>
          <w:b/>
          <w:sz w:val="22"/>
          <w:szCs w:val="22"/>
        </w:rPr>
        <w:t>III</w:t>
      </w:r>
      <w:r w:rsidRPr="00D45C2B">
        <w:rPr>
          <w:rFonts w:ascii="Arial" w:hAnsi="Arial" w:cs="Arial"/>
          <w:b/>
          <w:sz w:val="22"/>
          <w:szCs w:val="22"/>
        </w:rPr>
        <w:t>,</w:t>
      </w:r>
    </w:p>
    <w:p w14:paraId="23751BE6" w14:textId="469AB01D" w:rsidR="00247758" w:rsidRPr="00247758" w:rsidRDefault="00247758" w:rsidP="00247758">
      <w:pPr>
        <w:pStyle w:val="PrformatHTML"/>
        <w:numPr>
          <w:ilvl w:val="0"/>
          <w:numId w:val="1"/>
        </w:numPr>
        <w:tabs>
          <w:tab w:val="clear" w:pos="720"/>
        </w:tabs>
        <w:ind w:left="284" w:hanging="284"/>
        <w:jc w:val="both"/>
        <w:rPr>
          <w:rFonts w:ascii="Arial" w:hAnsi="Arial" w:cs="Arial"/>
          <w:b/>
          <w:sz w:val="22"/>
          <w:szCs w:val="22"/>
        </w:rPr>
      </w:pPr>
      <w:r w:rsidRPr="00D45C2B">
        <w:rPr>
          <w:rFonts w:ascii="Arial" w:hAnsi="Arial" w:cs="Arial"/>
          <w:b/>
          <w:sz w:val="22"/>
          <w:szCs w:val="22"/>
        </w:rPr>
        <w:t>l</w:t>
      </w:r>
      <w:r w:rsidR="00D45C2B">
        <w:rPr>
          <w:rFonts w:ascii="Arial" w:hAnsi="Arial" w:cs="Arial"/>
          <w:b/>
          <w:sz w:val="22"/>
          <w:szCs w:val="22"/>
        </w:rPr>
        <w:t>’impact</w:t>
      </w:r>
      <w:r w:rsidR="00A965C6">
        <w:rPr>
          <w:rFonts w:ascii="Arial" w:hAnsi="Arial" w:cs="Arial"/>
          <w:b/>
          <w:sz w:val="22"/>
          <w:szCs w:val="22"/>
        </w:rPr>
        <w:t xml:space="preserve"> </w:t>
      </w:r>
      <w:r w:rsidR="00D45C2B">
        <w:rPr>
          <w:rFonts w:ascii="Arial" w:hAnsi="Arial" w:cs="Arial"/>
          <w:b/>
          <w:sz w:val="22"/>
          <w:szCs w:val="22"/>
        </w:rPr>
        <w:t xml:space="preserve">potentiel </w:t>
      </w:r>
      <w:r w:rsidRPr="00D45C2B">
        <w:rPr>
          <w:rFonts w:ascii="Arial" w:hAnsi="Arial" w:cs="Arial"/>
          <w:b/>
          <w:sz w:val="22"/>
          <w:szCs w:val="22"/>
        </w:rPr>
        <w:t xml:space="preserve">de cet </w:t>
      </w:r>
      <w:r w:rsidRPr="00AB7C09">
        <w:rPr>
          <w:rFonts w:ascii="Arial" w:hAnsi="Arial" w:cs="Arial"/>
          <w:b/>
          <w:sz w:val="22"/>
          <w:szCs w:val="22"/>
        </w:rPr>
        <w:t>an</w:t>
      </w:r>
      <w:r w:rsidR="00607F1E" w:rsidRPr="00AB7C09">
        <w:rPr>
          <w:rFonts w:ascii="Arial" w:hAnsi="Arial" w:cs="Arial"/>
          <w:b/>
          <w:sz w:val="22"/>
          <w:szCs w:val="22"/>
        </w:rPr>
        <w:t>t</w:t>
      </w:r>
      <w:r w:rsidRPr="00AB7C09">
        <w:rPr>
          <w:rFonts w:ascii="Arial" w:hAnsi="Arial" w:cs="Arial"/>
          <w:b/>
          <w:sz w:val="22"/>
          <w:szCs w:val="22"/>
        </w:rPr>
        <w:t>al</w:t>
      </w:r>
      <w:r w:rsidR="00607F1E" w:rsidRPr="00AB7C09">
        <w:rPr>
          <w:rFonts w:ascii="Arial" w:hAnsi="Arial" w:cs="Arial"/>
          <w:b/>
          <w:sz w:val="22"/>
          <w:szCs w:val="22"/>
        </w:rPr>
        <w:t>g</w:t>
      </w:r>
      <w:r w:rsidRPr="00AB7C09">
        <w:rPr>
          <w:rFonts w:ascii="Arial" w:hAnsi="Arial" w:cs="Arial"/>
          <w:b/>
          <w:sz w:val="22"/>
          <w:szCs w:val="22"/>
        </w:rPr>
        <w:t>ique</w:t>
      </w:r>
      <w:r w:rsidR="00D45C2B" w:rsidRPr="00AB7C09">
        <w:rPr>
          <w:rFonts w:ascii="Arial" w:hAnsi="Arial" w:cs="Arial"/>
          <w:b/>
          <w:sz w:val="22"/>
          <w:szCs w:val="22"/>
        </w:rPr>
        <w:t xml:space="preserve"> </w:t>
      </w:r>
      <w:r w:rsidR="00607F1E" w:rsidRPr="00AB7C09">
        <w:rPr>
          <w:rFonts w:ascii="Arial" w:hAnsi="Arial" w:cs="Arial"/>
          <w:b/>
          <w:sz w:val="22"/>
          <w:szCs w:val="22"/>
        </w:rPr>
        <w:t>opioïde</w:t>
      </w:r>
      <w:r w:rsidR="00AB7C09" w:rsidRPr="00AB7C09">
        <w:rPr>
          <w:rFonts w:ascii="Arial" w:hAnsi="Arial" w:cs="Arial"/>
          <w:b/>
          <w:sz w:val="22"/>
          <w:szCs w:val="22"/>
        </w:rPr>
        <w:t>,</w:t>
      </w:r>
      <w:r w:rsidR="00607F1E" w:rsidRPr="00AB7C09">
        <w:rPr>
          <w:rFonts w:ascii="Arial" w:hAnsi="Arial" w:cs="Arial"/>
          <w:b/>
          <w:sz w:val="22"/>
          <w:szCs w:val="22"/>
        </w:rPr>
        <w:t xml:space="preserve"> </w:t>
      </w:r>
      <w:r w:rsidR="00AB7C09" w:rsidRPr="00AB7C09">
        <w:rPr>
          <w:rFonts w:ascii="Arial" w:hAnsi="Arial" w:cs="Arial"/>
          <w:b/>
          <w:sz w:val="22"/>
          <w:szCs w:val="22"/>
        </w:rPr>
        <w:t xml:space="preserve">indiqué dans la pharmacodépendance majeure aux opiacés, </w:t>
      </w:r>
      <w:r w:rsidR="00D45C2B" w:rsidRPr="00AB7C09">
        <w:rPr>
          <w:rFonts w:ascii="Arial" w:hAnsi="Arial" w:cs="Arial"/>
          <w:b/>
          <w:sz w:val="22"/>
          <w:szCs w:val="22"/>
        </w:rPr>
        <w:t>sur l</w:t>
      </w:r>
      <w:r w:rsidR="00FE7184" w:rsidRPr="00AB7C09">
        <w:rPr>
          <w:rFonts w:ascii="Arial" w:hAnsi="Arial" w:cs="Arial"/>
          <w:b/>
          <w:sz w:val="22"/>
          <w:szCs w:val="22"/>
        </w:rPr>
        <w:t>e parcours</w:t>
      </w:r>
      <w:r w:rsidR="00FE7184">
        <w:rPr>
          <w:rFonts w:ascii="Arial" w:hAnsi="Arial" w:cs="Arial"/>
          <w:b/>
          <w:sz w:val="22"/>
          <w:szCs w:val="22"/>
        </w:rPr>
        <w:t xml:space="preserve"> de soins ou de vie de</w:t>
      </w:r>
      <w:r w:rsidR="00D45C2B">
        <w:rPr>
          <w:rFonts w:ascii="Arial" w:hAnsi="Arial" w:cs="Arial"/>
          <w:b/>
          <w:sz w:val="22"/>
          <w:szCs w:val="22"/>
        </w:rPr>
        <w:t xml:space="preserve"> ces patients</w:t>
      </w:r>
      <w:r w:rsidR="00970E6C">
        <w:rPr>
          <w:rFonts w:ascii="Arial" w:hAnsi="Arial" w:cs="Arial"/>
          <w:b/>
          <w:sz w:val="22"/>
          <w:szCs w:val="22"/>
        </w:rPr>
        <w:t>,</w:t>
      </w:r>
    </w:p>
    <w:p w14:paraId="07A6C58D" w14:textId="72A31D9A" w:rsidR="00A05536" w:rsidRPr="00970E6C" w:rsidRDefault="00F51C8A" w:rsidP="00D45C2B">
      <w:pPr>
        <w:pStyle w:val="Paragraphedeliste"/>
        <w:numPr>
          <w:ilvl w:val="0"/>
          <w:numId w:val="1"/>
        </w:numPr>
        <w:tabs>
          <w:tab w:val="clear" w:pos="720"/>
        </w:tabs>
        <w:autoSpaceDE w:val="0"/>
        <w:autoSpaceDN w:val="0"/>
        <w:adjustRightInd w:val="0"/>
        <w:ind w:left="284" w:hanging="284"/>
        <w:rPr>
          <w:rFonts w:eastAsia="Arial-BoldMT" w:cs="Arial"/>
          <w:b/>
          <w:bCs/>
          <w:color w:val="000000" w:themeColor="text1"/>
          <w:szCs w:val="22"/>
        </w:rPr>
      </w:pPr>
      <w:r w:rsidRPr="00880F58">
        <w:rPr>
          <w:rFonts w:eastAsia="Arial-BoldMT" w:cs="Arial"/>
          <w:b/>
          <w:bCs/>
          <w:szCs w:val="22"/>
        </w:rPr>
        <w:t>l’absence</w:t>
      </w:r>
      <w:r w:rsidR="00A965C6">
        <w:rPr>
          <w:rFonts w:eastAsia="Arial-BoldMT" w:cs="Arial"/>
          <w:b/>
          <w:bCs/>
          <w:szCs w:val="22"/>
        </w:rPr>
        <w:t xml:space="preserve"> </w:t>
      </w:r>
      <w:r w:rsidRPr="00880F58">
        <w:rPr>
          <w:rFonts w:eastAsia="Arial-BoldMT" w:cs="Arial"/>
          <w:b/>
          <w:bCs/>
          <w:szCs w:val="22"/>
        </w:rPr>
        <w:t xml:space="preserve">de </w:t>
      </w:r>
      <w:r w:rsidR="00A05536" w:rsidRPr="00880F58">
        <w:rPr>
          <w:rFonts w:eastAsia="Arial-BoldMT" w:cs="Arial"/>
          <w:b/>
          <w:bCs/>
          <w:szCs w:val="22"/>
        </w:rPr>
        <w:t xml:space="preserve">données </w:t>
      </w:r>
      <w:r w:rsidR="006430B2" w:rsidRPr="00880F58">
        <w:rPr>
          <w:rFonts w:eastAsia="Arial-BoldMT" w:cs="Arial"/>
          <w:b/>
          <w:bCs/>
          <w:szCs w:val="22"/>
        </w:rPr>
        <w:t xml:space="preserve">cliniques </w:t>
      </w:r>
      <w:r w:rsidR="00A05536" w:rsidRPr="00880F58">
        <w:rPr>
          <w:rFonts w:eastAsia="Arial-BoldMT" w:cs="Arial"/>
          <w:b/>
          <w:bCs/>
          <w:szCs w:val="22"/>
        </w:rPr>
        <w:t xml:space="preserve">permettant de conclure à </w:t>
      </w:r>
      <w:r w:rsidR="006430B2" w:rsidRPr="00880F58">
        <w:rPr>
          <w:rFonts w:eastAsia="Arial-BoldMT" w:cs="Arial"/>
          <w:b/>
          <w:bCs/>
          <w:szCs w:val="22"/>
        </w:rPr>
        <w:t>la supériorité d</w:t>
      </w:r>
      <w:r w:rsidR="005D5AE0">
        <w:rPr>
          <w:rFonts w:eastAsia="Arial-BoldMT" w:cs="Arial"/>
          <w:b/>
          <w:bCs/>
          <w:szCs w:val="22"/>
        </w:rPr>
        <w:t xml:space="preserve">e la méthadone </w:t>
      </w:r>
      <w:r w:rsidR="006430B2" w:rsidRPr="00880F58">
        <w:rPr>
          <w:rFonts w:eastAsia="Arial-BoldMT" w:cs="Arial"/>
          <w:b/>
          <w:bCs/>
          <w:szCs w:val="22"/>
        </w:rPr>
        <w:t xml:space="preserve">en termes d’efficacité et/ou de tolérance par rapport aux autres </w:t>
      </w:r>
      <w:r w:rsidR="00AE0AB5" w:rsidRPr="00880F58">
        <w:rPr>
          <w:rFonts w:eastAsia="Arial-BoldMT" w:cs="Arial"/>
          <w:b/>
          <w:bCs/>
          <w:szCs w:val="22"/>
        </w:rPr>
        <w:t>antalgiques</w:t>
      </w:r>
      <w:r w:rsidR="006430B2" w:rsidRPr="00880F58">
        <w:rPr>
          <w:rFonts w:eastAsia="Arial-BoldMT" w:cs="Arial"/>
          <w:b/>
          <w:bCs/>
          <w:szCs w:val="22"/>
        </w:rPr>
        <w:t xml:space="preserve"> </w:t>
      </w:r>
      <w:r w:rsidR="00AE0AB5" w:rsidRPr="00880F58">
        <w:rPr>
          <w:rFonts w:eastAsia="Arial-BoldMT" w:cs="Arial"/>
          <w:b/>
          <w:bCs/>
          <w:szCs w:val="22"/>
        </w:rPr>
        <w:t xml:space="preserve">utilisés dans le </w:t>
      </w:r>
      <w:r w:rsidR="00AE0AB5" w:rsidRPr="00970E6C">
        <w:rPr>
          <w:rFonts w:eastAsia="Arial-BoldMT" w:cs="Arial"/>
          <w:b/>
          <w:bCs/>
          <w:color w:val="000000" w:themeColor="text1"/>
          <w:szCs w:val="22"/>
        </w:rPr>
        <w:t>cadre d</w:t>
      </w:r>
      <w:r w:rsidR="00D45C2B" w:rsidRPr="00970E6C">
        <w:rPr>
          <w:rFonts w:eastAsia="Arial-BoldMT" w:cs="Arial"/>
          <w:b/>
          <w:bCs/>
          <w:color w:val="000000" w:themeColor="text1"/>
          <w:szCs w:val="22"/>
        </w:rPr>
        <w:t xml:space="preserve">’une </w:t>
      </w:r>
      <w:r w:rsidR="00AE0AB5" w:rsidRPr="00970E6C">
        <w:rPr>
          <w:rFonts w:eastAsia="Arial-BoldMT" w:cs="Arial"/>
          <w:b/>
          <w:bCs/>
          <w:color w:val="000000" w:themeColor="text1"/>
          <w:szCs w:val="22"/>
        </w:rPr>
        <w:t>rotation d’opioïde</w:t>
      </w:r>
      <w:r w:rsidR="00AC39E8" w:rsidRPr="00970E6C">
        <w:rPr>
          <w:rFonts w:eastAsia="Arial-BoldMT" w:cs="Arial"/>
          <w:b/>
          <w:bCs/>
          <w:color w:val="000000" w:themeColor="text1"/>
          <w:szCs w:val="22"/>
        </w:rPr>
        <w:t xml:space="preserve"> de palier </w:t>
      </w:r>
      <w:r w:rsidR="00FD0660" w:rsidRPr="00970E6C">
        <w:rPr>
          <w:rFonts w:eastAsia="Arial-BoldMT" w:cs="Arial"/>
          <w:b/>
          <w:bCs/>
          <w:color w:val="000000" w:themeColor="text1"/>
          <w:szCs w:val="22"/>
        </w:rPr>
        <w:t>III</w:t>
      </w:r>
      <w:r w:rsidR="005D5AE0">
        <w:rPr>
          <w:rFonts w:eastAsia="Arial-BoldMT" w:cs="Arial"/>
          <w:b/>
          <w:bCs/>
          <w:color w:val="000000" w:themeColor="text1"/>
          <w:szCs w:val="22"/>
        </w:rPr>
        <w:t xml:space="preserve"> et</w:t>
      </w:r>
      <w:r w:rsidR="00A05536" w:rsidRPr="00970E6C">
        <w:rPr>
          <w:rFonts w:eastAsia="Arial-BoldMT" w:cs="Arial"/>
          <w:b/>
          <w:bCs/>
          <w:color w:val="000000" w:themeColor="text1"/>
          <w:szCs w:val="22"/>
        </w:rPr>
        <w:t>,</w:t>
      </w:r>
    </w:p>
    <w:p w14:paraId="29BC98A1" w14:textId="7E41CF19" w:rsidR="00A05536" w:rsidRPr="00880F58" w:rsidRDefault="00880F58" w:rsidP="00D45C2B">
      <w:pPr>
        <w:pStyle w:val="Paragraphedeliste"/>
        <w:numPr>
          <w:ilvl w:val="0"/>
          <w:numId w:val="1"/>
        </w:numPr>
        <w:tabs>
          <w:tab w:val="clear" w:pos="720"/>
        </w:tabs>
        <w:autoSpaceDE w:val="0"/>
        <w:autoSpaceDN w:val="0"/>
        <w:adjustRightInd w:val="0"/>
        <w:ind w:left="284" w:hanging="284"/>
        <w:rPr>
          <w:rFonts w:eastAsia="Arial-BoldMT" w:cs="Arial"/>
          <w:bCs/>
          <w:szCs w:val="22"/>
        </w:rPr>
      </w:pPr>
      <w:r w:rsidRPr="00970E6C">
        <w:rPr>
          <w:rFonts w:eastAsia="Arial-BoldMT" w:cs="Arial"/>
          <w:b/>
          <w:bCs/>
          <w:color w:val="000000" w:themeColor="text1"/>
          <w:szCs w:val="22"/>
        </w:rPr>
        <w:t>la nécessité d’une prise en charge hospitalière pour l’</w:t>
      </w:r>
      <w:r w:rsidR="00B60CEC" w:rsidRPr="00970E6C">
        <w:rPr>
          <w:rFonts w:eastAsia="Arial-BoldMT" w:cs="Arial"/>
          <w:b/>
          <w:bCs/>
          <w:color w:val="000000" w:themeColor="text1"/>
          <w:szCs w:val="22"/>
        </w:rPr>
        <w:t>instauration</w:t>
      </w:r>
      <w:r w:rsidR="00A81B9E" w:rsidRPr="00970E6C">
        <w:rPr>
          <w:rFonts w:eastAsia="Arial-BoldMT" w:cs="Arial"/>
          <w:b/>
          <w:bCs/>
          <w:color w:val="000000" w:themeColor="text1"/>
          <w:szCs w:val="22"/>
        </w:rPr>
        <w:t xml:space="preserve"> </w:t>
      </w:r>
      <w:r w:rsidR="00247758" w:rsidRPr="00970E6C">
        <w:rPr>
          <w:rFonts w:eastAsia="Arial-BoldMT" w:cs="Arial"/>
          <w:b/>
          <w:bCs/>
          <w:color w:val="000000" w:themeColor="text1"/>
          <w:szCs w:val="22"/>
        </w:rPr>
        <w:t xml:space="preserve">du produit </w:t>
      </w:r>
      <w:r w:rsidR="00A81B9E" w:rsidRPr="00970E6C">
        <w:rPr>
          <w:rFonts w:eastAsia="Arial-BoldMT" w:cs="Arial"/>
          <w:b/>
          <w:bCs/>
          <w:color w:val="000000" w:themeColor="text1"/>
          <w:szCs w:val="22"/>
        </w:rPr>
        <w:t>et</w:t>
      </w:r>
      <w:r w:rsidR="00B60CEC" w:rsidRPr="00970E6C">
        <w:rPr>
          <w:rFonts w:eastAsia="Arial-BoldMT" w:cs="Arial"/>
          <w:b/>
          <w:bCs/>
          <w:color w:val="000000" w:themeColor="text1"/>
          <w:szCs w:val="22"/>
        </w:rPr>
        <w:t xml:space="preserve"> d’un </w:t>
      </w:r>
      <w:r w:rsidR="00A81B9E" w:rsidRPr="00970E6C">
        <w:rPr>
          <w:rFonts w:eastAsia="Arial-BoldMT" w:cs="Arial"/>
          <w:b/>
          <w:bCs/>
          <w:color w:val="000000" w:themeColor="text1"/>
          <w:szCs w:val="22"/>
        </w:rPr>
        <w:t>suivi</w:t>
      </w:r>
      <w:r w:rsidR="00970E6C" w:rsidRPr="00970E6C">
        <w:rPr>
          <w:rFonts w:eastAsia="Arial-BoldMT" w:cs="Arial"/>
          <w:b/>
          <w:bCs/>
          <w:color w:val="000000" w:themeColor="text1"/>
          <w:szCs w:val="22"/>
        </w:rPr>
        <w:t xml:space="preserve"> </w:t>
      </w:r>
      <w:r w:rsidR="00F06F65" w:rsidRPr="00970E6C">
        <w:rPr>
          <w:rFonts w:eastAsia="Arial-BoldMT" w:cs="Arial"/>
          <w:b/>
          <w:bCs/>
          <w:color w:val="000000" w:themeColor="text1"/>
          <w:szCs w:val="22"/>
        </w:rPr>
        <w:t>rapproché</w:t>
      </w:r>
      <w:r w:rsidR="00A81B9E" w:rsidRPr="00970E6C">
        <w:rPr>
          <w:rFonts w:eastAsia="Arial-BoldMT" w:cs="Arial"/>
          <w:b/>
          <w:bCs/>
          <w:color w:val="000000" w:themeColor="text1"/>
          <w:szCs w:val="22"/>
        </w:rPr>
        <w:t xml:space="preserve"> du patient </w:t>
      </w:r>
      <w:r w:rsidR="00A81B9E" w:rsidRPr="00880F58">
        <w:rPr>
          <w:rFonts w:eastAsia="Arial-BoldMT" w:cs="Arial"/>
          <w:b/>
          <w:bCs/>
          <w:szCs w:val="22"/>
        </w:rPr>
        <w:t xml:space="preserve">par un médecin expérimenté dans l’utilisation de la méthadone, </w:t>
      </w:r>
    </w:p>
    <w:p w14:paraId="6480BF89" w14:textId="4A5E0678" w:rsidR="00A05536" w:rsidRPr="00C8537B" w:rsidRDefault="006430B2" w:rsidP="00A05536">
      <w:pPr>
        <w:rPr>
          <w:rFonts w:cs="Arial"/>
          <w:b/>
          <w:i/>
          <w:szCs w:val="22"/>
        </w:rPr>
      </w:pPr>
      <w:r w:rsidRPr="00C8537B">
        <w:rPr>
          <w:rFonts w:cs="Arial"/>
          <w:b/>
          <w:szCs w:val="22"/>
        </w:rPr>
        <w:t>L</w:t>
      </w:r>
      <w:r w:rsidR="00A05536" w:rsidRPr="00C8537B">
        <w:rPr>
          <w:rFonts w:cs="Arial"/>
          <w:b/>
          <w:szCs w:val="22"/>
        </w:rPr>
        <w:t xml:space="preserve">a Commission considère que ZORYON n’apporte pas d’amélioration du service médical rendu (ASMR V) </w:t>
      </w:r>
      <w:r w:rsidR="00880F58" w:rsidRPr="00C8537B">
        <w:rPr>
          <w:rFonts w:cs="Arial"/>
          <w:b/>
          <w:szCs w:val="22"/>
        </w:rPr>
        <w:t xml:space="preserve">dans la stratégie de prise en charge de la douleur </w:t>
      </w:r>
      <w:r w:rsidR="00C8537B" w:rsidRPr="00C8537B">
        <w:rPr>
          <w:rFonts w:cs="Arial"/>
          <w:b/>
          <w:szCs w:val="22"/>
        </w:rPr>
        <w:t xml:space="preserve">chronique </w:t>
      </w:r>
      <w:r w:rsidR="00880F58" w:rsidRPr="00C8537B">
        <w:rPr>
          <w:rFonts w:cs="Arial"/>
          <w:b/>
          <w:szCs w:val="22"/>
        </w:rPr>
        <w:t xml:space="preserve">d’origine cancéreuse </w:t>
      </w:r>
      <w:r w:rsidR="00BB5F38">
        <w:rPr>
          <w:rFonts w:cs="Arial"/>
          <w:b/>
          <w:szCs w:val="22"/>
        </w:rPr>
        <w:t>non</w:t>
      </w:r>
      <w:r w:rsidR="006B1854" w:rsidRPr="002B344B">
        <w:rPr>
          <w:rFonts w:cs="Arial"/>
          <w:b/>
          <w:szCs w:val="22"/>
        </w:rPr>
        <w:t xml:space="preserve"> </w:t>
      </w:r>
      <w:r w:rsidR="00880F58" w:rsidRPr="002B344B">
        <w:rPr>
          <w:rFonts w:cs="Arial"/>
          <w:b/>
          <w:szCs w:val="22"/>
        </w:rPr>
        <w:t>soulagé</w:t>
      </w:r>
      <w:r w:rsidR="00BB5F38">
        <w:rPr>
          <w:rFonts w:cs="Arial"/>
          <w:b/>
          <w:szCs w:val="22"/>
        </w:rPr>
        <w:t>e</w:t>
      </w:r>
      <w:r w:rsidR="006B1854" w:rsidRPr="002B344B">
        <w:rPr>
          <w:rFonts w:cs="Arial"/>
          <w:b/>
          <w:szCs w:val="22"/>
        </w:rPr>
        <w:t xml:space="preserve"> de façon adéquate</w:t>
      </w:r>
      <w:r w:rsidR="00880F58" w:rsidRPr="002B344B">
        <w:rPr>
          <w:rFonts w:cs="Arial"/>
          <w:b/>
          <w:szCs w:val="22"/>
        </w:rPr>
        <w:t xml:space="preserve"> par d’autres </w:t>
      </w:r>
      <w:r w:rsidR="00880F58" w:rsidRPr="00C8537B">
        <w:rPr>
          <w:rFonts w:cs="Arial"/>
          <w:b/>
          <w:szCs w:val="22"/>
        </w:rPr>
        <w:t xml:space="preserve">opioïdes de palier </w:t>
      </w:r>
      <w:r w:rsidR="00FD0660">
        <w:rPr>
          <w:rFonts w:cs="Arial"/>
          <w:b/>
          <w:szCs w:val="22"/>
        </w:rPr>
        <w:t>III</w:t>
      </w:r>
      <w:r w:rsidR="00880F58" w:rsidRPr="00C8537B">
        <w:rPr>
          <w:rFonts w:cs="Arial"/>
          <w:b/>
          <w:szCs w:val="22"/>
        </w:rPr>
        <w:t>. </w:t>
      </w:r>
    </w:p>
    <w:p w14:paraId="7DF07B9D" w14:textId="77777777" w:rsidR="00A05536" w:rsidRPr="00A05536" w:rsidRDefault="00A05536" w:rsidP="00A05536">
      <w:pPr>
        <w:rPr>
          <w:rFonts w:cs="Arial"/>
        </w:rPr>
      </w:pPr>
    </w:p>
    <w:p w14:paraId="1113DEF1" w14:textId="7633CA6B" w:rsidR="00690F1A" w:rsidRPr="00C13E96" w:rsidRDefault="00690F1A" w:rsidP="00DA6BD6">
      <w:pPr>
        <w:pStyle w:val="Titre2"/>
      </w:pPr>
      <w:r w:rsidRPr="00C13E96">
        <w:t>Population cible</w:t>
      </w:r>
    </w:p>
    <w:p w14:paraId="425C7BAC" w14:textId="77777777" w:rsidR="00E43F1D" w:rsidRPr="00930474" w:rsidRDefault="00E43F1D" w:rsidP="00DC3938">
      <w:pPr>
        <w:pStyle w:val="StyleGras"/>
        <w:shd w:val="clear" w:color="auto" w:fill="auto"/>
        <w:rPr>
          <w:b w:val="0"/>
        </w:rPr>
      </w:pPr>
      <w:r w:rsidRPr="00930474">
        <w:rPr>
          <w:b w:val="0"/>
        </w:rPr>
        <w:t>La préval</w:t>
      </w:r>
      <w:r w:rsidR="00A106F4" w:rsidRPr="00930474">
        <w:rPr>
          <w:b w:val="0"/>
        </w:rPr>
        <w:t>e</w:t>
      </w:r>
      <w:r w:rsidRPr="00930474">
        <w:rPr>
          <w:b w:val="0"/>
        </w:rPr>
        <w:t xml:space="preserve">nce </w:t>
      </w:r>
      <w:r w:rsidR="00A106F4" w:rsidRPr="00930474">
        <w:rPr>
          <w:b w:val="0"/>
        </w:rPr>
        <w:t>totale des cancers</w:t>
      </w:r>
      <w:r w:rsidR="009E6C04" w:rsidRPr="00930474">
        <w:rPr>
          <w:b w:val="0"/>
        </w:rPr>
        <w:t xml:space="preserve"> en France</w:t>
      </w:r>
      <w:r w:rsidR="00A106F4" w:rsidRPr="00930474">
        <w:rPr>
          <w:b w:val="0"/>
        </w:rPr>
        <w:t xml:space="preserve"> était estimée à 3,8 mil</w:t>
      </w:r>
      <w:r w:rsidR="009E6C04" w:rsidRPr="00930474">
        <w:rPr>
          <w:b w:val="0"/>
        </w:rPr>
        <w:t>lions de personnes en 2017</w:t>
      </w:r>
      <w:r w:rsidR="00930474">
        <w:rPr>
          <w:b w:val="0"/>
        </w:rPr>
        <w:t>.</w:t>
      </w:r>
      <w:r w:rsidR="00930474" w:rsidRPr="000E2476">
        <w:rPr>
          <w:rStyle w:val="Appelnotedebasdep"/>
          <w:rFonts w:cs="Arial"/>
          <w:bCs w:val="0"/>
          <w:iCs/>
          <w:szCs w:val="22"/>
        </w:rPr>
        <w:footnoteReference w:id="22"/>
      </w:r>
      <w:r w:rsidR="009E6C04" w:rsidRPr="00930474">
        <w:rPr>
          <w:b w:val="0"/>
        </w:rPr>
        <w:t xml:space="preserve"> </w:t>
      </w:r>
    </w:p>
    <w:p w14:paraId="21AF4EF6" w14:textId="77777777" w:rsidR="00591ED4" w:rsidRDefault="00591ED4" w:rsidP="00930474">
      <w:pPr>
        <w:autoSpaceDE w:val="0"/>
        <w:autoSpaceDN w:val="0"/>
        <w:adjustRightInd w:val="0"/>
        <w:rPr>
          <w:rFonts w:cs="Arial"/>
          <w:szCs w:val="22"/>
        </w:rPr>
      </w:pPr>
    </w:p>
    <w:p w14:paraId="5A94D197" w14:textId="651AEDC8" w:rsidR="00B97CC3" w:rsidRPr="00B47F8F" w:rsidRDefault="000E2476" w:rsidP="00B60C6F">
      <w:pPr>
        <w:pStyle w:val="StyleGras"/>
        <w:shd w:val="clear" w:color="auto" w:fill="auto"/>
      </w:pPr>
      <w:r w:rsidRPr="00FA2D4F">
        <w:rPr>
          <w:rFonts w:cs="Arial"/>
          <w:b w:val="0"/>
          <w:szCs w:val="22"/>
        </w:rPr>
        <w:t>D’après les données de l’enquête VICAN</w:t>
      </w:r>
      <w:r w:rsidR="00813E30" w:rsidRPr="00FA2D4F">
        <w:rPr>
          <w:rFonts w:cs="Arial"/>
          <w:b w:val="0"/>
          <w:szCs w:val="22"/>
          <w:vertAlign w:val="subscript"/>
        </w:rPr>
        <w:t>5</w:t>
      </w:r>
      <w:r w:rsidRPr="00FA2D4F">
        <w:rPr>
          <w:rFonts w:cs="Arial"/>
          <w:b w:val="0"/>
          <w:szCs w:val="22"/>
          <w:vertAlign w:val="subscript"/>
        </w:rPr>
        <w:t xml:space="preserve"> </w:t>
      </w:r>
      <w:r w:rsidRPr="00FA2D4F">
        <w:rPr>
          <w:rFonts w:cs="Arial"/>
          <w:b w:val="0"/>
          <w:szCs w:val="22"/>
        </w:rPr>
        <w:t xml:space="preserve">sur les conditions de vie cinq ans après un diagnostic de cancer, </w:t>
      </w:r>
      <w:r w:rsidR="00813E30" w:rsidRPr="00FA2D4F">
        <w:rPr>
          <w:rFonts w:cs="Arial"/>
          <w:b w:val="0"/>
          <w:szCs w:val="22"/>
        </w:rPr>
        <w:t>pilotée par l’Institut national du cancer (INCa)</w:t>
      </w:r>
      <w:r w:rsidR="00813E30" w:rsidRPr="00FA2D4F">
        <w:rPr>
          <w:rStyle w:val="Appelnotedebasdep"/>
          <w:rFonts w:cs="Arial"/>
          <w:b w:val="0"/>
          <w:bCs w:val="0"/>
          <w:iCs/>
          <w:szCs w:val="22"/>
        </w:rPr>
        <w:footnoteReference w:id="23"/>
      </w:r>
      <w:r w:rsidR="00813E30" w:rsidRPr="00FA2D4F">
        <w:rPr>
          <w:rFonts w:cs="Arial"/>
          <w:b w:val="0"/>
          <w:szCs w:val="22"/>
        </w:rPr>
        <w:t xml:space="preserve">, </w:t>
      </w:r>
      <w:r w:rsidRPr="00FA2D4F">
        <w:rPr>
          <w:rFonts w:cs="Arial"/>
          <w:b w:val="0"/>
          <w:szCs w:val="22"/>
        </w:rPr>
        <w:t xml:space="preserve">réalisée en 2015 auprès de personnes vivant en France métropolitaine ayant eu un diagnostic de cancer en 2010, </w:t>
      </w:r>
      <w:r w:rsidRPr="00FA2D4F">
        <w:rPr>
          <w:rFonts w:cs="Arial"/>
          <w:b w:val="0"/>
          <w:bCs w:val="0"/>
          <w:szCs w:val="22"/>
        </w:rPr>
        <w:t xml:space="preserve">73 % </w:t>
      </w:r>
      <w:r w:rsidRPr="00FA2D4F">
        <w:rPr>
          <w:rFonts w:cs="Arial"/>
          <w:b w:val="0"/>
          <w:szCs w:val="22"/>
        </w:rPr>
        <w:t xml:space="preserve">ont </w:t>
      </w:r>
      <w:r w:rsidR="00280C92" w:rsidRPr="00FA2D4F">
        <w:rPr>
          <w:rFonts w:cs="Arial"/>
          <w:b w:val="0"/>
          <w:szCs w:val="22"/>
        </w:rPr>
        <w:t xml:space="preserve">déclaré avoir </w:t>
      </w:r>
      <w:r w:rsidRPr="00FA2D4F">
        <w:rPr>
          <w:rFonts w:cs="Arial"/>
          <w:b w:val="0"/>
          <w:szCs w:val="22"/>
        </w:rPr>
        <w:t xml:space="preserve">ressenti des </w:t>
      </w:r>
      <w:r w:rsidR="00280C92" w:rsidRPr="00FA2D4F">
        <w:rPr>
          <w:rFonts w:cs="Arial"/>
          <w:b w:val="0"/>
          <w:szCs w:val="22"/>
        </w:rPr>
        <w:t xml:space="preserve">sensations </w:t>
      </w:r>
      <w:r w:rsidRPr="00FA2D4F">
        <w:rPr>
          <w:rFonts w:cs="Arial"/>
          <w:b w:val="0"/>
          <w:szCs w:val="22"/>
        </w:rPr>
        <w:t>doul</w:t>
      </w:r>
      <w:r w:rsidR="00FE66F6">
        <w:rPr>
          <w:rFonts w:cs="Arial"/>
          <w:b w:val="0"/>
          <w:szCs w:val="22"/>
        </w:rPr>
        <w:t>oureuses</w:t>
      </w:r>
      <w:r w:rsidRPr="00FA2D4F">
        <w:rPr>
          <w:rFonts w:cs="Arial"/>
          <w:b w:val="0"/>
          <w:szCs w:val="22"/>
        </w:rPr>
        <w:t xml:space="preserve"> dans les 15 derniers jours</w:t>
      </w:r>
      <w:r w:rsidR="00B97CC3" w:rsidRPr="00FA2D4F">
        <w:rPr>
          <w:b w:val="0"/>
        </w:rPr>
        <w:t>, survenu</w:t>
      </w:r>
      <w:r w:rsidR="00170F98">
        <w:rPr>
          <w:b w:val="0"/>
        </w:rPr>
        <w:t>es il y a plus de 6 mois pour 78</w:t>
      </w:r>
      <w:r w:rsidR="00B97CC3" w:rsidRPr="00FA2D4F">
        <w:rPr>
          <w:b w:val="0"/>
        </w:rPr>
        <w:t xml:space="preserve">% d’entre eux ; 73% avaient consulté un </w:t>
      </w:r>
      <w:r w:rsidR="003C21BE" w:rsidRPr="00FA2D4F">
        <w:rPr>
          <w:b w:val="0"/>
        </w:rPr>
        <w:t xml:space="preserve">médecin à ce sujet. </w:t>
      </w:r>
      <w:r w:rsidR="00170F98">
        <w:rPr>
          <w:b w:val="0"/>
        </w:rPr>
        <w:t>Cette chroni</w:t>
      </w:r>
      <w:r w:rsidR="00B60C6F">
        <w:rPr>
          <w:b w:val="0"/>
        </w:rPr>
        <w:t>ci</w:t>
      </w:r>
      <w:r w:rsidR="00170F98">
        <w:rPr>
          <w:b w:val="0"/>
        </w:rPr>
        <w:t>sation es</w:t>
      </w:r>
      <w:r w:rsidR="006E5E87">
        <w:rPr>
          <w:b w:val="0"/>
        </w:rPr>
        <w:t>t</w:t>
      </w:r>
      <w:r w:rsidR="00170F98">
        <w:rPr>
          <w:b w:val="0"/>
        </w:rPr>
        <w:t xml:space="preserve"> encore plus importante chez ceux dont la composante neuropathique avait été détectée. </w:t>
      </w:r>
      <w:r w:rsidR="003C21BE" w:rsidRPr="00FA2D4F">
        <w:rPr>
          <w:b w:val="0"/>
        </w:rPr>
        <w:t>Le recours à</w:t>
      </w:r>
      <w:r w:rsidR="00B97CC3" w:rsidRPr="00FA2D4F">
        <w:rPr>
          <w:b w:val="0"/>
        </w:rPr>
        <w:t xml:space="preserve"> des consultations médicales spécialisées dans le traitement de la douleur ne concernait que 19% des patients de l’enquête.</w:t>
      </w:r>
      <w:r w:rsidR="00FA2D4F" w:rsidRPr="00FA2D4F">
        <w:rPr>
          <w:b w:val="0"/>
          <w:bCs w:val="0"/>
        </w:rPr>
        <w:t xml:space="preserve"> </w:t>
      </w:r>
      <w:r w:rsidR="00396F79">
        <w:rPr>
          <w:b w:val="0"/>
          <w:bCs w:val="0"/>
        </w:rPr>
        <w:t xml:space="preserve">La prescription annuelle d’antalgiques (extractions réalisées à partir du SNIIRAM) reste significative sur toute la période d’observation (cinq années après le diagnostic). La prescription </w:t>
      </w:r>
      <w:r w:rsidR="000E7221">
        <w:rPr>
          <w:b w:val="0"/>
          <w:bCs w:val="0"/>
        </w:rPr>
        <w:t xml:space="preserve">annuelle </w:t>
      </w:r>
      <w:r w:rsidR="00396F79">
        <w:rPr>
          <w:b w:val="0"/>
          <w:bCs w:val="0"/>
        </w:rPr>
        <w:t>de palier II varie entre 21% et 50% sur la période ; l’acc</w:t>
      </w:r>
      <w:r w:rsidR="000E7221">
        <w:rPr>
          <w:b w:val="0"/>
          <w:bCs w:val="0"/>
        </w:rPr>
        <w:t>ès au palier III reste limité avec une</w:t>
      </w:r>
      <w:r w:rsidR="00396F79">
        <w:rPr>
          <w:b w:val="0"/>
          <w:bCs w:val="0"/>
        </w:rPr>
        <w:t xml:space="preserve"> prescription </w:t>
      </w:r>
      <w:r w:rsidR="000E7221">
        <w:rPr>
          <w:b w:val="0"/>
          <w:bCs w:val="0"/>
        </w:rPr>
        <w:t>annuelle</w:t>
      </w:r>
      <w:r w:rsidR="00396F79">
        <w:rPr>
          <w:b w:val="0"/>
          <w:bCs w:val="0"/>
        </w:rPr>
        <w:t xml:space="preserve"> entre 3% et 6,5%.  </w:t>
      </w:r>
    </w:p>
    <w:p w14:paraId="17CDE0BA" w14:textId="468F2E87" w:rsidR="00F50CF5" w:rsidRPr="00CC7EFA" w:rsidRDefault="00084F34" w:rsidP="006A7221">
      <w:pPr>
        <w:pStyle w:val="StyleGras"/>
        <w:shd w:val="clear" w:color="auto" w:fill="auto"/>
        <w:spacing w:before="120"/>
        <w:rPr>
          <w:rFonts w:cs="Arial"/>
          <w:b w:val="0"/>
          <w:bCs w:val="0"/>
          <w:szCs w:val="22"/>
        </w:rPr>
      </w:pPr>
      <w:r w:rsidRPr="00CC7EFA">
        <w:rPr>
          <w:rFonts w:cs="Arial"/>
          <w:b w:val="0"/>
          <w:bCs w:val="0"/>
          <w:szCs w:val="22"/>
        </w:rPr>
        <w:t xml:space="preserve">Une étude </w:t>
      </w:r>
      <w:r w:rsidR="00C25289" w:rsidRPr="00CC7EFA">
        <w:rPr>
          <w:rFonts w:cs="Arial"/>
          <w:b w:val="0"/>
          <w:bCs w:val="0"/>
          <w:szCs w:val="22"/>
        </w:rPr>
        <w:t>pro</w:t>
      </w:r>
      <w:r w:rsidR="00287908" w:rsidRPr="00CC7EFA">
        <w:rPr>
          <w:rFonts w:cs="Arial"/>
          <w:b w:val="0"/>
          <w:bCs w:val="0"/>
          <w:szCs w:val="22"/>
        </w:rPr>
        <w:t>s</w:t>
      </w:r>
      <w:r w:rsidR="00C25289" w:rsidRPr="00CC7EFA">
        <w:rPr>
          <w:rFonts w:cs="Arial"/>
          <w:b w:val="0"/>
          <w:bCs w:val="0"/>
          <w:szCs w:val="22"/>
        </w:rPr>
        <w:t>p</w:t>
      </w:r>
      <w:r w:rsidR="00287908" w:rsidRPr="00CC7EFA">
        <w:rPr>
          <w:rFonts w:cs="Arial"/>
          <w:b w:val="0"/>
          <w:bCs w:val="0"/>
          <w:szCs w:val="22"/>
        </w:rPr>
        <w:t xml:space="preserve">ective nationale </w:t>
      </w:r>
      <w:r w:rsidR="00F50CF5" w:rsidRPr="00CC7EFA">
        <w:rPr>
          <w:rFonts w:cs="Arial"/>
          <w:b w:val="0"/>
          <w:bCs w:val="0"/>
          <w:szCs w:val="22"/>
        </w:rPr>
        <w:t>p</w:t>
      </w:r>
      <w:r w:rsidR="00276E29" w:rsidRPr="00CC7EFA">
        <w:rPr>
          <w:rFonts w:cs="Arial"/>
          <w:b w:val="0"/>
          <w:bCs w:val="0"/>
          <w:szCs w:val="22"/>
        </w:rPr>
        <w:t>u</w:t>
      </w:r>
      <w:r w:rsidR="00F50CF5" w:rsidRPr="00CC7EFA">
        <w:rPr>
          <w:rFonts w:cs="Arial"/>
          <w:b w:val="0"/>
          <w:bCs w:val="0"/>
          <w:szCs w:val="22"/>
        </w:rPr>
        <w:t>bliée en 2017</w:t>
      </w:r>
      <w:r w:rsidR="00D373DF" w:rsidRPr="00C70530">
        <w:rPr>
          <w:rStyle w:val="Appelnotedebasdep"/>
          <w:rFonts w:cs="Arial"/>
          <w:bCs w:val="0"/>
          <w:iCs/>
          <w:szCs w:val="22"/>
        </w:rPr>
        <w:footnoteReference w:id="24"/>
      </w:r>
      <w:r w:rsidR="00F50CF5" w:rsidRPr="00CC7EFA">
        <w:rPr>
          <w:rFonts w:cs="Arial"/>
          <w:b w:val="0"/>
          <w:bCs w:val="0"/>
          <w:szCs w:val="22"/>
        </w:rPr>
        <w:t xml:space="preserve"> </w:t>
      </w:r>
      <w:r w:rsidR="00276E29" w:rsidRPr="00CC7EFA">
        <w:rPr>
          <w:rFonts w:cs="Arial"/>
          <w:b w:val="0"/>
          <w:bCs w:val="0"/>
          <w:szCs w:val="22"/>
        </w:rPr>
        <w:t xml:space="preserve">avait été </w:t>
      </w:r>
      <w:r w:rsidR="00F50CF5" w:rsidRPr="00CC7EFA">
        <w:rPr>
          <w:rFonts w:cs="Arial"/>
          <w:b w:val="0"/>
          <w:bCs w:val="0"/>
          <w:szCs w:val="22"/>
        </w:rPr>
        <w:t xml:space="preserve">réalisée </w:t>
      </w:r>
      <w:r w:rsidRPr="00CC7EFA">
        <w:rPr>
          <w:rFonts w:cs="Arial"/>
          <w:b w:val="0"/>
          <w:bCs w:val="0"/>
          <w:szCs w:val="22"/>
        </w:rPr>
        <w:t xml:space="preserve">dans </w:t>
      </w:r>
      <w:r w:rsidR="00276E29" w:rsidRPr="00CC7EFA">
        <w:rPr>
          <w:rFonts w:cs="Arial"/>
          <w:b w:val="0"/>
          <w:bCs w:val="0"/>
          <w:szCs w:val="22"/>
        </w:rPr>
        <w:t>l</w:t>
      </w:r>
      <w:r w:rsidRPr="00CC7EFA">
        <w:rPr>
          <w:rFonts w:cs="Arial"/>
          <w:b w:val="0"/>
          <w:bCs w:val="0"/>
          <w:szCs w:val="22"/>
        </w:rPr>
        <w:t>es unités d’oncologie de 12 établissements français</w:t>
      </w:r>
      <w:r w:rsidR="00287908" w:rsidRPr="00CC7EFA">
        <w:rPr>
          <w:rFonts w:cs="Arial"/>
          <w:b w:val="0"/>
          <w:bCs w:val="0"/>
          <w:szCs w:val="22"/>
        </w:rPr>
        <w:t>.</w:t>
      </w:r>
      <w:r w:rsidRPr="00CC7EFA">
        <w:rPr>
          <w:rFonts w:cs="Arial"/>
          <w:b w:val="0"/>
          <w:bCs w:val="0"/>
          <w:szCs w:val="22"/>
        </w:rPr>
        <w:t xml:space="preserve"> </w:t>
      </w:r>
      <w:r w:rsidR="00F50CF5" w:rsidRPr="00CC7EFA">
        <w:rPr>
          <w:rFonts w:cs="Arial"/>
          <w:b w:val="0"/>
          <w:bCs w:val="0"/>
          <w:szCs w:val="22"/>
        </w:rPr>
        <w:t xml:space="preserve">Parmi les </w:t>
      </w:r>
      <w:r w:rsidR="00287908" w:rsidRPr="00CC7EFA">
        <w:rPr>
          <w:rFonts w:cs="Arial"/>
          <w:b w:val="0"/>
          <w:bCs w:val="0"/>
          <w:szCs w:val="22"/>
        </w:rPr>
        <w:t>1885</w:t>
      </w:r>
      <w:r w:rsidR="00926DDB" w:rsidRPr="00CC7EFA">
        <w:rPr>
          <w:rFonts w:cs="Arial"/>
          <w:b w:val="0"/>
          <w:bCs w:val="0"/>
          <w:szCs w:val="22"/>
        </w:rPr>
        <w:t xml:space="preserve"> patie</w:t>
      </w:r>
      <w:r w:rsidR="00DB0574" w:rsidRPr="00CC7EFA">
        <w:rPr>
          <w:rFonts w:cs="Arial"/>
          <w:b w:val="0"/>
          <w:bCs w:val="0"/>
          <w:szCs w:val="22"/>
        </w:rPr>
        <w:t>n</w:t>
      </w:r>
      <w:r w:rsidR="00926DDB" w:rsidRPr="00CC7EFA">
        <w:rPr>
          <w:rFonts w:cs="Arial"/>
          <w:b w:val="0"/>
          <w:bCs w:val="0"/>
          <w:szCs w:val="22"/>
        </w:rPr>
        <w:t>ts ambulatoi</w:t>
      </w:r>
      <w:r w:rsidR="00DB0574" w:rsidRPr="00CC7EFA">
        <w:rPr>
          <w:rFonts w:cs="Arial"/>
          <w:b w:val="0"/>
          <w:bCs w:val="0"/>
          <w:szCs w:val="22"/>
        </w:rPr>
        <w:t>r</w:t>
      </w:r>
      <w:r w:rsidR="00926DDB" w:rsidRPr="00CC7EFA">
        <w:rPr>
          <w:rFonts w:cs="Arial"/>
          <w:b w:val="0"/>
          <w:bCs w:val="0"/>
          <w:szCs w:val="22"/>
        </w:rPr>
        <w:t>e</w:t>
      </w:r>
      <w:r w:rsidR="00DB0574" w:rsidRPr="00CC7EFA">
        <w:rPr>
          <w:rFonts w:cs="Arial"/>
          <w:b w:val="0"/>
          <w:bCs w:val="0"/>
          <w:szCs w:val="22"/>
        </w:rPr>
        <w:t xml:space="preserve">s </w:t>
      </w:r>
      <w:r w:rsidR="00C25289" w:rsidRPr="00CC7EFA">
        <w:rPr>
          <w:rFonts w:cs="Arial"/>
          <w:b w:val="0"/>
          <w:bCs w:val="0"/>
          <w:szCs w:val="22"/>
        </w:rPr>
        <w:t>ayant consulté</w:t>
      </w:r>
      <w:r w:rsidR="00DB0574" w:rsidRPr="00CC7EFA">
        <w:rPr>
          <w:rFonts w:cs="Arial"/>
          <w:b w:val="0"/>
          <w:bCs w:val="0"/>
          <w:szCs w:val="22"/>
        </w:rPr>
        <w:t xml:space="preserve"> </w:t>
      </w:r>
      <w:r w:rsidR="00C25289" w:rsidRPr="00CC7EFA">
        <w:rPr>
          <w:rFonts w:cs="Arial"/>
          <w:b w:val="0"/>
          <w:bCs w:val="0"/>
          <w:szCs w:val="22"/>
        </w:rPr>
        <w:t xml:space="preserve">dans les 2 semaines précédentes </w:t>
      </w:r>
      <w:r w:rsidR="00DB0574" w:rsidRPr="00CC7EFA">
        <w:rPr>
          <w:rFonts w:cs="Arial"/>
          <w:b w:val="0"/>
          <w:bCs w:val="0"/>
          <w:szCs w:val="22"/>
        </w:rPr>
        <w:t xml:space="preserve">pour un </w:t>
      </w:r>
      <w:r w:rsidR="00C25289" w:rsidRPr="00CC7EFA">
        <w:rPr>
          <w:rFonts w:cs="Arial"/>
          <w:b w:val="0"/>
          <w:bCs w:val="0"/>
          <w:szCs w:val="22"/>
        </w:rPr>
        <w:t>traitement anticancéreux</w:t>
      </w:r>
      <w:r w:rsidR="00287908" w:rsidRPr="00CC7EFA">
        <w:rPr>
          <w:rFonts w:cs="Arial"/>
          <w:b w:val="0"/>
          <w:bCs w:val="0"/>
          <w:szCs w:val="22"/>
        </w:rPr>
        <w:t xml:space="preserve"> </w:t>
      </w:r>
      <w:r w:rsidR="00F50CF5" w:rsidRPr="00CC7EFA">
        <w:rPr>
          <w:rFonts w:cs="Arial"/>
          <w:b w:val="0"/>
          <w:bCs w:val="0"/>
          <w:szCs w:val="22"/>
        </w:rPr>
        <w:t>sollicités pour participer à l’étude, 1805</w:t>
      </w:r>
      <w:r w:rsidR="00707AC1" w:rsidRPr="00CC7EFA">
        <w:rPr>
          <w:rFonts w:cs="Arial"/>
          <w:b w:val="0"/>
          <w:bCs w:val="0"/>
          <w:szCs w:val="22"/>
        </w:rPr>
        <w:t xml:space="preserve"> </w:t>
      </w:r>
      <w:r w:rsidR="006D1D56">
        <w:rPr>
          <w:rFonts w:cs="Arial"/>
          <w:b w:val="0"/>
          <w:bCs w:val="0"/>
          <w:szCs w:val="22"/>
        </w:rPr>
        <w:t xml:space="preserve">avaient </w:t>
      </w:r>
      <w:r w:rsidR="00F50CF5" w:rsidRPr="00CC7EFA">
        <w:rPr>
          <w:rFonts w:cs="Arial"/>
          <w:b w:val="0"/>
          <w:bCs w:val="0"/>
          <w:szCs w:val="22"/>
        </w:rPr>
        <w:t>été inclus</w:t>
      </w:r>
      <w:r w:rsidR="00CA5CAB">
        <w:rPr>
          <w:rFonts w:cs="Arial"/>
          <w:b w:val="0"/>
          <w:bCs w:val="0"/>
          <w:szCs w:val="22"/>
        </w:rPr>
        <w:t>.</w:t>
      </w:r>
      <w:r w:rsidR="00F50CF5" w:rsidRPr="00CC7EFA">
        <w:rPr>
          <w:rFonts w:cs="Arial"/>
          <w:b w:val="0"/>
          <w:bCs w:val="0"/>
          <w:szCs w:val="22"/>
        </w:rPr>
        <w:t xml:space="preserve"> </w:t>
      </w:r>
      <w:r w:rsidR="007D67C5" w:rsidRPr="00CC7EFA">
        <w:rPr>
          <w:rFonts w:cs="Arial"/>
          <w:b w:val="0"/>
          <w:bCs w:val="0"/>
          <w:szCs w:val="22"/>
        </w:rPr>
        <w:t xml:space="preserve">La prévalence </w:t>
      </w:r>
      <w:r w:rsidR="00CC7EFA" w:rsidRPr="00CC7EFA">
        <w:rPr>
          <w:rFonts w:cs="Arial"/>
          <w:b w:val="0"/>
          <w:bCs w:val="0"/>
          <w:szCs w:val="22"/>
        </w:rPr>
        <w:t xml:space="preserve">totale </w:t>
      </w:r>
      <w:r w:rsidR="007D67C5" w:rsidRPr="00CC7EFA">
        <w:rPr>
          <w:rFonts w:cs="Arial"/>
          <w:b w:val="0"/>
          <w:bCs w:val="0"/>
          <w:szCs w:val="22"/>
        </w:rPr>
        <w:t>de</w:t>
      </w:r>
      <w:r w:rsidR="00CA5CAB">
        <w:rPr>
          <w:rFonts w:cs="Arial"/>
          <w:b w:val="0"/>
          <w:bCs w:val="0"/>
          <w:szCs w:val="22"/>
        </w:rPr>
        <w:t>s</w:t>
      </w:r>
      <w:r w:rsidR="007D67C5" w:rsidRPr="00CC7EFA">
        <w:rPr>
          <w:rFonts w:cs="Arial"/>
          <w:b w:val="0"/>
          <w:bCs w:val="0"/>
          <w:szCs w:val="22"/>
        </w:rPr>
        <w:t xml:space="preserve"> douleurs chroniques était de </w:t>
      </w:r>
      <w:r w:rsidR="00F50CF5" w:rsidRPr="00CC7EFA">
        <w:rPr>
          <w:rFonts w:cs="Arial"/>
          <w:b w:val="0"/>
          <w:bCs w:val="0"/>
          <w:szCs w:val="22"/>
        </w:rPr>
        <w:t>28</w:t>
      </w:r>
      <w:r w:rsidR="00CC7EFA">
        <w:rPr>
          <w:rFonts w:cs="Arial"/>
          <w:b w:val="0"/>
          <w:bCs w:val="0"/>
          <w:szCs w:val="22"/>
        </w:rPr>
        <w:t>,</w:t>
      </w:r>
      <w:r w:rsidR="00F50CF5" w:rsidRPr="00CC7EFA">
        <w:rPr>
          <w:rFonts w:cs="Arial"/>
          <w:b w:val="0"/>
          <w:bCs w:val="0"/>
          <w:szCs w:val="22"/>
        </w:rPr>
        <w:t xml:space="preserve">2% </w:t>
      </w:r>
      <w:r w:rsidR="00CC7EFA" w:rsidRPr="00CC7EFA">
        <w:rPr>
          <w:rFonts w:cs="Arial"/>
          <w:b w:val="0"/>
          <w:bCs w:val="0"/>
          <w:szCs w:val="22"/>
        </w:rPr>
        <w:t>(</w:t>
      </w:r>
      <w:r w:rsidR="00F50CF5" w:rsidRPr="00CC7EFA">
        <w:rPr>
          <w:rFonts w:cs="Arial"/>
          <w:b w:val="0"/>
          <w:bCs w:val="0"/>
          <w:szCs w:val="22"/>
        </w:rPr>
        <w:t>95% CI: 26</w:t>
      </w:r>
      <w:r w:rsidR="00CC7EFA">
        <w:rPr>
          <w:rFonts w:cs="Arial"/>
          <w:b w:val="0"/>
          <w:bCs w:val="0"/>
          <w:szCs w:val="22"/>
        </w:rPr>
        <w:t>,</w:t>
      </w:r>
      <w:r w:rsidR="00F50CF5" w:rsidRPr="00CC7EFA">
        <w:rPr>
          <w:rFonts w:cs="Arial"/>
          <w:b w:val="0"/>
          <w:bCs w:val="0"/>
          <w:szCs w:val="22"/>
        </w:rPr>
        <w:t>3-30</w:t>
      </w:r>
      <w:r w:rsidR="00CC7EFA">
        <w:rPr>
          <w:rFonts w:cs="Arial"/>
          <w:b w:val="0"/>
          <w:bCs w:val="0"/>
          <w:szCs w:val="22"/>
        </w:rPr>
        <w:t>,</w:t>
      </w:r>
      <w:r w:rsidR="00F50CF5" w:rsidRPr="00CC7EFA">
        <w:rPr>
          <w:rFonts w:cs="Arial"/>
          <w:b w:val="0"/>
          <w:bCs w:val="0"/>
          <w:szCs w:val="22"/>
        </w:rPr>
        <w:t xml:space="preserve">5), </w:t>
      </w:r>
      <w:r w:rsidR="00CC7EFA" w:rsidRPr="00CC7EFA">
        <w:rPr>
          <w:rFonts w:cs="Arial"/>
          <w:b w:val="0"/>
          <w:bCs w:val="0"/>
          <w:szCs w:val="22"/>
        </w:rPr>
        <w:t>(</w:t>
      </w:r>
      <w:r w:rsidR="00CA5CAB">
        <w:rPr>
          <w:rFonts w:cs="Arial"/>
          <w:b w:val="0"/>
          <w:bCs w:val="0"/>
          <w:szCs w:val="22"/>
        </w:rPr>
        <w:t xml:space="preserve">entre </w:t>
      </w:r>
      <w:r w:rsidR="00F50CF5" w:rsidRPr="00CC7EFA">
        <w:rPr>
          <w:rFonts w:cs="Arial"/>
          <w:b w:val="0"/>
          <w:bCs w:val="0"/>
          <w:szCs w:val="22"/>
        </w:rPr>
        <w:t>22</w:t>
      </w:r>
      <w:r w:rsidR="00CC7EFA">
        <w:rPr>
          <w:rFonts w:cs="Arial"/>
          <w:b w:val="0"/>
          <w:bCs w:val="0"/>
          <w:szCs w:val="22"/>
        </w:rPr>
        <w:t>,</w:t>
      </w:r>
      <w:r w:rsidR="00F50CF5" w:rsidRPr="00CC7EFA">
        <w:rPr>
          <w:rFonts w:cs="Arial"/>
          <w:b w:val="0"/>
          <w:bCs w:val="0"/>
          <w:szCs w:val="22"/>
        </w:rPr>
        <w:t>5%</w:t>
      </w:r>
      <w:r w:rsidR="00CA5CAB">
        <w:rPr>
          <w:rFonts w:cs="Arial"/>
          <w:b w:val="0"/>
          <w:bCs w:val="0"/>
          <w:szCs w:val="22"/>
        </w:rPr>
        <w:t xml:space="preserve"> et</w:t>
      </w:r>
      <w:r w:rsidR="00CC7EFA" w:rsidRPr="00CC7EFA">
        <w:rPr>
          <w:rFonts w:cs="Arial"/>
          <w:b w:val="0"/>
          <w:bCs w:val="0"/>
          <w:szCs w:val="22"/>
        </w:rPr>
        <w:t xml:space="preserve"> </w:t>
      </w:r>
      <w:r w:rsidR="00F50CF5" w:rsidRPr="00CC7EFA">
        <w:rPr>
          <w:rFonts w:cs="Arial"/>
          <w:b w:val="0"/>
          <w:bCs w:val="0"/>
          <w:szCs w:val="22"/>
        </w:rPr>
        <w:t>35</w:t>
      </w:r>
      <w:r w:rsidR="00CC7EFA">
        <w:rPr>
          <w:rFonts w:cs="Arial"/>
          <w:b w:val="0"/>
          <w:bCs w:val="0"/>
          <w:szCs w:val="22"/>
        </w:rPr>
        <w:t>,</w:t>
      </w:r>
      <w:r w:rsidR="00F50CF5" w:rsidRPr="00CC7EFA">
        <w:rPr>
          <w:rFonts w:cs="Arial"/>
          <w:b w:val="0"/>
          <w:bCs w:val="0"/>
          <w:szCs w:val="22"/>
        </w:rPr>
        <w:t>4%</w:t>
      </w:r>
      <w:r w:rsidR="00CA5CAB">
        <w:rPr>
          <w:rFonts w:cs="Arial"/>
          <w:b w:val="0"/>
          <w:bCs w:val="0"/>
          <w:szCs w:val="22"/>
        </w:rPr>
        <w:t>)</w:t>
      </w:r>
      <w:r w:rsidR="00F50CF5" w:rsidRPr="00CC7EFA">
        <w:rPr>
          <w:rFonts w:cs="Arial"/>
          <w:b w:val="0"/>
          <w:bCs w:val="0"/>
          <w:szCs w:val="22"/>
        </w:rPr>
        <w:t xml:space="preserve">. </w:t>
      </w:r>
      <w:r w:rsidR="00CC7EFA" w:rsidRPr="00CC7EFA">
        <w:rPr>
          <w:rFonts w:cs="Arial"/>
          <w:b w:val="0"/>
          <w:bCs w:val="0"/>
          <w:szCs w:val="22"/>
        </w:rPr>
        <w:t>Des car</w:t>
      </w:r>
      <w:r w:rsidR="00CC7EFA">
        <w:rPr>
          <w:rFonts w:cs="Arial"/>
          <w:b w:val="0"/>
          <w:bCs w:val="0"/>
          <w:szCs w:val="22"/>
        </w:rPr>
        <w:t>a</w:t>
      </w:r>
      <w:r w:rsidR="00CC7EFA" w:rsidRPr="00CC7EFA">
        <w:rPr>
          <w:rFonts w:cs="Arial"/>
          <w:b w:val="0"/>
          <w:bCs w:val="0"/>
          <w:szCs w:val="22"/>
        </w:rPr>
        <w:t>ctéristiques neuropathiques étaie</w:t>
      </w:r>
      <w:r w:rsidR="00CA5CAB">
        <w:rPr>
          <w:rFonts w:cs="Arial"/>
          <w:b w:val="0"/>
          <w:bCs w:val="0"/>
          <w:szCs w:val="22"/>
        </w:rPr>
        <w:t>nt présentes dans 20,9% des cas,</w:t>
      </w:r>
      <w:r w:rsidR="00F50CF5" w:rsidRPr="00CC7EFA">
        <w:rPr>
          <w:rFonts w:cs="Arial"/>
          <w:b w:val="0"/>
          <w:bCs w:val="0"/>
          <w:szCs w:val="22"/>
        </w:rPr>
        <w:t xml:space="preserve"> </w:t>
      </w:r>
      <w:r w:rsidR="00CC7EFA" w:rsidRPr="00CC7EFA">
        <w:rPr>
          <w:rFonts w:cs="Arial"/>
          <w:b w:val="0"/>
          <w:bCs w:val="0"/>
          <w:szCs w:val="22"/>
        </w:rPr>
        <w:t xml:space="preserve">avec une prévalence de </w:t>
      </w:r>
      <w:r w:rsidR="00F50CF5" w:rsidRPr="00CC7EFA">
        <w:rPr>
          <w:rFonts w:cs="Arial"/>
          <w:b w:val="0"/>
          <w:bCs w:val="0"/>
          <w:szCs w:val="22"/>
        </w:rPr>
        <w:t>2</w:t>
      </w:r>
      <w:r w:rsidR="00CC7EFA">
        <w:rPr>
          <w:rFonts w:cs="Arial"/>
          <w:b w:val="0"/>
          <w:bCs w:val="0"/>
          <w:szCs w:val="22"/>
        </w:rPr>
        <w:t>,</w:t>
      </w:r>
      <w:r w:rsidR="00F50CF5" w:rsidRPr="00CC7EFA">
        <w:rPr>
          <w:rFonts w:cs="Arial"/>
          <w:b w:val="0"/>
          <w:bCs w:val="0"/>
          <w:szCs w:val="22"/>
        </w:rPr>
        <w:t xml:space="preserve">9% </w:t>
      </w:r>
      <w:r w:rsidR="00CC7EFA" w:rsidRPr="00CC7EFA">
        <w:rPr>
          <w:rFonts w:cs="Arial"/>
          <w:b w:val="0"/>
          <w:bCs w:val="0"/>
          <w:szCs w:val="22"/>
        </w:rPr>
        <w:t xml:space="preserve">à </w:t>
      </w:r>
      <w:r w:rsidR="00F50CF5" w:rsidRPr="00CC7EFA">
        <w:rPr>
          <w:rFonts w:cs="Arial"/>
          <w:b w:val="0"/>
          <w:bCs w:val="0"/>
          <w:szCs w:val="22"/>
        </w:rPr>
        <w:t>9</w:t>
      </w:r>
      <w:r w:rsidR="00CC7EFA">
        <w:rPr>
          <w:rFonts w:cs="Arial"/>
          <w:b w:val="0"/>
          <w:bCs w:val="0"/>
          <w:szCs w:val="22"/>
        </w:rPr>
        <w:t>,</w:t>
      </w:r>
      <w:r w:rsidR="00F50CF5" w:rsidRPr="00CC7EFA">
        <w:rPr>
          <w:rFonts w:cs="Arial"/>
          <w:b w:val="0"/>
          <w:bCs w:val="0"/>
          <w:szCs w:val="22"/>
        </w:rPr>
        <w:t xml:space="preserve">7%. </w:t>
      </w:r>
    </w:p>
    <w:p w14:paraId="5032FD03" w14:textId="50F7DA38" w:rsidR="00B97CC3" w:rsidRDefault="00F50CF5" w:rsidP="00DB0574">
      <w:pPr>
        <w:pStyle w:val="StyleGras"/>
        <w:shd w:val="clear" w:color="auto" w:fill="auto"/>
        <w:rPr>
          <w:b w:val="0"/>
        </w:rPr>
      </w:pPr>
      <w:r w:rsidRPr="00CC7EFA">
        <w:rPr>
          <w:rFonts w:cs="Arial"/>
          <w:b w:val="0"/>
          <w:bCs w:val="0"/>
          <w:szCs w:val="22"/>
        </w:rPr>
        <w:t>873/1285 pati</w:t>
      </w:r>
      <w:r w:rsidR="005C6C95" w:rsidRPr="00CC7EFA">
        <w:rPr>
          <w:rFonts w:cs="Arial"/>
          <w:b w:val="0"/>
          <w:bCs w:val="0"/>
          <w:szCs w:val="22"/>
        </w:rPr>
        <w:t>e</w:t>
      </w:r>
      <w:r w:rsidRPr="00CC7EFA">
        <w:rPr>
          <w:rFonts w:cs="Arial"/>
          <w:b w:val="0"/>
          <w:bCs w:val="0"/>
          <w:szCs w:val="22"/>
        </w:rPr>
        <w:t>n</w:t>
      </w:r>
      <w:r w:rsidR="005C6C95" w:rsidRPr="00CC7EFA">
        <w:rPr>
          <w:rFonts w:cs="Arial"/>
          <w:b w:val="0"/>
          <w:bCs w:val="0"/>
          <w:szCs w:val="22"/>
        </w:rPr>
        <w:t>t</w:t>
      </w:r>
      <w:r w:rsidRPr="00CC7EFA">
        <w:rPr>
          <w:rFonts w:cs="Arial"/>
          <w:b w:val="0"/>
          <w:bCs w:val="0"/>
          <w:szCs w:val="22"/>
        </w:rPr>
        <w:t>s avaie</w:t>
      </w:r>
      <w:r w:rsidR="005C6C95" w:rsidRPr="00CC7EFA">
        <w:rPr>
          <w:rFonts w:cs="Arial"/>
          <w:b w:val="0"/>
          <w:bCs w:val="0"/>
          <w:szCs w:val="22"/>
        </w:rPr>
        <w:t>n</w:t>
      </w:r>
      <w:r w:rsidRPr="00CC7EFA">
        <w:rPr>
          <w:rFonts w:cs="Arial"/>
          <w:b w:val="0"/>
          <w:bCs w:val="0"/>
          <w:szCs w:val="22"/>
        </w:rPr>
        <w:t>t été vu</w:t>
      </w:r>
      <w:r w:rsidR="00CA5CAB">
        <w:rPr>
          <w:rFonts w:cs="Arial"/>
          <w:b w:val="0"/>
          <w:bCs w:val="0"/>
          <w:szCs w:val="22"/>
        </w:rPr>
        <w:t>s</w:t>
      </w:r>
      <w:r w:rsidRPr="00CC7EFA">
        <w:rPr>
          <w:rFonts w:cs="Arial"/>
          <w:b w:val="0"/>
          <w:bCs w:val="0"/>
          <w:szCs w:val="22"/>
        </w:rPr>
        <w:t xml:space="preserve"> au moins une</w:t>
      </w:r>
      <w:r w:rsidR="005C6C95" w:rsidRPr="00CC7EFA">
        <w:rPr>
          <w:rFonts w:cs="Arial"/>
          <w:b w:val="0"/>
          <w:bCs w:val="0"/>
          <w:szCs w:val="22"/>
        </w:rPr>
        <w:t xml:space="preserve"> </w:t>
      </w:r>
      <w:r w:rsidRPr="00CC7EFA">
        <w:rPr>
          <w:rFonts w:cs="Arial"/>
          <w:b w:val="0"/>
          <w:bCs w:val="0"/>
          <w:szCs w:val="22"/>
        </w:rPr>
        <w:t xml:space="preserve">fois à 3 ou 6 mois ; </w:t>
      </w:r>
      <w:r w:rsidR="00084F34" w:rsidRPr="00CC7EFA">
        <w:rPr>
          <w:rFonts w:cs="Arial"/>
          <w:b w:val="0"/>
          <w:bCs w:val="0"/>
          <w:szCs w:val="22"/>
        </w:rPr>
        <w:t xml:space="preserve">les incidences </w:t>
      </w:r>
      <w:r w:rsidRPr="00CC7EFA">
        <w:rPr>
          <w:rFonts w:cs="Arial"/>
          <w:b w:val="0"/>
          <w:bCs w:val="0"/>
          <w:szCs w:val="22"/>
        </w:rPr>
        <w:t>des</w:t>
      </w:r>
      <w:r w:rsidR="00084F34" w:rsidRPr="00CC7EFA">
        <w:rPr>
          <w:rFonts w:cs="Arial"/>
          <w:b w:val="0"/>
          <w:bCs w:val="0"/>
          <w:szCs w:val="22"/>
        </w:rPr>
        <w:t xml:space="preserve"> douleur</w:t>
      </w:r>
      <w:r w:rsidRPr="00CC7EFA">
        <w:rPr>
          <w:rFonts w:cs="Arial"/>
          <w:b w:val="0"/>
          <w:bCs w:val="0"/>
          <w:szCs w:val="22"/>
        </w:rPr>
        <w:t xml:space="preserve">s </w:t>
      </w:r>
      <w:r w:rsidR="00084F34" w:rsidRPr="00CC7EFA">
        <w:rPr>
          <w:rFonts w:cs="Arial"/>
          <w:b w:val="0"/>
          <w:bCs w:val="0"/>
          <w:szCs w:val="22"/>
        </w:rPr>
        <w:t>chronique</w:t>
      </w:r>
      <w:r w:rsidRPr="00CC7EFA">
        <w:rPr>
          <w:rFonts w:cs="Arial"/>
          <w:b w:val="0"/>
          <w:bCs w:val="0"/>
          <w:szCs w:val="22"/>
        </w:rPr>
        <w:t>s sur 6 mois</w:t>
      </w:r>
      <w:r w:rsidRPr="00CC7EFA">
        <w:rPr>
          <w:b w:val="0"/>
          <w:bCs w:val="0"/>
        </w:rPr>
        <w:t xml:space="preserve"> </w:t>
      </w:r>
      <w:r>
        <w:rPr>
          <w:b w:val="0"/>
          <w:bCs w:val="0"/>
        </w:rPr>
        <w:t>variaient de 13 à 28</w:t>
      </w:r>
      <w:r w:rsidR="00084F34">
        <w:rPr>
          <w:b w:val="0"/>
          <w:bCs w:val="0"/>
        </w:rPr>
        <w:t>% a</w:t>
      </w:r>
      <w:r>
        <w:rPr>
          <w:b w:val="0"/>
          <w:bCs w:val="0"/>
        </w:rPr>
        <w:t xml:space="preserve">vec une proportion de douleurs </w:t>
      </w:r>
      <w:r w:rsidR="00084F34">
        <w:rPr>
          <w:b w:val="0"/>
          <w:bCs w:val="0"/>
        </w:rPr>
        <w:t>neuropathiques de 20</w:t>
      </w:r>
      <w:r w:rsidR="00084F34" w:rsidRPr="00CA5CAB">
        <w:rPr>
          <w:b w:val="0"/>
          <w:bCs w:val="0"/>
        </w:rPr>
        <w:t>%.</w:t>
      </w:r>
      <w:r w:rsidR="00DB0574" w:rsidRPr="00CA5CAB">
        <w:rPr>
          <w:b w:val="0"/>
          <w:bCs w:val="0"/>
        </w:rPr>
        <w:t xml:space="preserve"> </w:t>
      </w:r>
      <w:r w:rsidR="00B47F8F">
        <w:rPr>
          <w:b w:val="0"/>
        </w:rPr>
        <w:t>Seulement 7,</w:t>
      </w:r>
      <w:r w:rsidR="00931B15" w:rsidRPr="00CA5CAB">
        <w:rPr>
          <w:b w:val="0"/>
        </w:rPr>
        <w:t>3% de ces patients douloureux auraient rencontré un médecin algologue</w:t>
      </w:r>
      <w:r w:rsidR="005C6C95" w:rsidRPr="00CA5CAB">
        <w:rPr>
          <w:b w:val="0"/>
        </w:rPr>
        <w:t>.</w:t>
      </w:r>
    </w:p>
    <w:p w14:paraId="56F292AC" w14:textId="5D3018C4" w:rsidR="00870869" w:rsidRPr="00B97CC3" w:rsidRDefault="00870869" w:rsidP="00870869">
      <w:pPr>
        <w:pStyle w:val="StyleGras"/>
        <w:shd w:val="clear" w:color="auto" w:fill="auto"/>
        <w:rPr>
          <w:b w:val="0"/>
          <w:bCs w:val="0"/>
        </w:rPr>
      </w:pPr>
      <w:r w:rsidRPr="00DB24A9">
        <w:rPr>
          <w:b w:val="0"/>
          <w:bCs w:val="0"/>
        </w:rPr>
        <w:t xml:space="preserve">Aucune étude épidémiologique récente ne permet </w:t>
      </w:r>
      <w:r>
        <w:rPr>
          <w:b w:val="0"/>
          <w:bCs w:val="0"/>
        </w:rPr>
        <w:t xml:space="preserve">actuellement </w:t>
      </w:r>
      <w:r w:rsidRPr="00DB24A9">
        <w:rPr>
          <w:b w:val="0"/>
          <w:bCs w:val="0"/>
        </w:rPr>
        <w:t xml:space="preserve">de vérifier ces données qui ont possiblement évolué eu égard à l’évolution des traitements à visée carcinologique et </w:t>
      </w:r>
      <w:r>
        <w:rPr>
          <w:b w:val="0"/>
          <w:bCs w:val="0"/>
        </w:rPr>
        <w:t xml:space="preserve">des traitements </w:t>
      </w:r>
      <w:r w:rsidRPr="00DB24A9">
        <w:rPr>
          <w:b w:val="0"/>
          <w:bCs w:val="0"/>
        </w:rPr>
        <w:t xml:space="preserve">à visée antalgique. </w:t>
      </w:r>
    </w:p>
    <w:p w14:paraId="624C89AB" w14:textId="17D938EA" w:rsidR="00AD5115" w:rsidRDefault="001D711A" w:rsidP="006A7221">
      <w:pPr>
        <w:shd w:val="clear" w:color="auto" w:fill="FFFFFF"/>
        <w:spacing w:before="120"/>
      </w:pPr>
      <w:r w:rsidRPr="00870869">
        <w:t xml:space="preserve">D’après les données d’un rapport ANSM daté de février </w:t>
      </w:r>
      <w:r w:rsidR="00AD5115" w:rsidRPr="00870869">
        <w:t>2019</w:t>
      </w:r>
      <w:r w:rsidRPr="00870869">
        <w:rPr>
          <w:rStyle w:val="Appelnotedebasdep"/>
          <w:rFonts w:cs="Arial"/>
          <w:bCs/>
          <w:iCs/>
          <w:szCs w:val="22"/>
        </w:rPr>
        <w:footnoteReference w:id="25"/>
      </w:r>
      <w:r w:rsidRPr="00870869">
        <w:t>, e</w:t>
      </w:r>
      <w:r w:rsidR="00AD5115" w:rsidRPr="00870869">
        <w:t xml:space="preserve">n </w:t>
      </w:r>
      <w:r w:rsidR="00AD5115">
        <w:t>2017</w:t>
      </w:r>
      <w:r>
        <w:t>,</w:t>
      </w:r>
      <w:r w:rsidR="00AD5115">
        <w:t xml:space="preserve"> </w:t>
      </w:r>
      <w:r w:rsidR="00CA5CAB">
        <w:t xml:space="preserve">la consommation des antalgiques opioïdes forts représente 2% de la consommation totale d’antalgiques en France, celle des antalgiques opioïdes faibles est de 20%. </w:t>
      </w:r>
      <w:r w:rsidR="00AD5115">
        <w:t>E</w:t>
      </w:r>
      <w:r w:rsidR="00CA5CAB">
        <w:t>n 2015, 9 966 944 français (17</w:t>
      </w:r>
      <w:r w:rsidR="00AD5115">
        <w:t>%) ont reçu un antalgique opioïde sur prescription.</w:t>
      </w:r>
    </w:p>
    <w:p w14:paraId="2D4A58F6" w14:textId="794666D5" w:rsidR="00AD5115" w:rsidRPr="00287908" w:rsidRDefault="00FE66F6" w:rsidP="00000D0D">
      <w:pPr>
        <w:rPr>
          <w:rFonts w:cs="Arial"/>
          <w:color w:val="000000"/>
          <w:sz w:val="18"/>
          <w:szCs w:val="18"/>
        </w:rPr>
      </w:pPr>
      <w:r>
        <w:t>Selon l</w:t>
      </w:r>
      <w:r w:rsidR="00AD5115">
        <w:t>’analyse des chiffres de vente et des données de l’Assurance maladie sur les antalgiques opioïdes forts</w:t>
      </w:r>
      <w:r>
        <w:t xml:space="preserve">, </w:t>
      </w:r>
      <w:r w:rsidR="00AD5115">
        <w:t xml:space="preserve">sur 444 questionnaires recueillis, les antalgiques stupéfiants les plus cités </w:t>
      </w:r>
      <w:r>
        <w:t xml:space="preserve">en 2017 </w:t>
      </w:r>
      <w:r w:rsidR="00AD5115">
        <w:t>sont la morphine (37,3%), l’oxycodone (31,9%), le fentanyl transdermique (26,5%) et le fentanyl à action rapide (3,7%). La douleur traitée est chronique (62,2%), a</w:t>
      </w:r>
      <w:r w:rsidR="00870869">
        <w:t xml:space="preserve">iguë (21,6%) ou les deux (1,8%). </w:t>
      </w:r>
      <w:r w:rsidR="00AD5115">
        <w:t xml:space="preserve">L’indication est rhumatologique (36,5%), cancérologique (30,3%), autres (douleurs post-opératoires, amputation, plaies, ulcères) (19,9%), neurologique (11,7%), substitution aux opioïdes (1,6%). Le prescripteur est majoritairement un médecin généraliste (81,3%), </w:t>
      </w:r>
      <w:r w:rsidR="00FB147E">
        <w:t>plus rarement</w:t>
      </w:r>
      <w:r w:rsidR="00AD5115">
        <w:t xml:space="preserve"> un cancérologue (5,4%), un rhumatologue (2%), un pneumologue (1,4%), un chirurgien (1,1%) et un anesthésiste (1,1%).</w:t>
      </w:r>
    </w:p>
    <w:p w14:paraId="447C8B69" w14:textId="69591C66" w:rsidR="00EC2C16" w:rsidRPr="0015241C" w:rsidRDefault="00EC2C16" w:rsidP="006A7221">
      <w:pPr>
        <w:spacing w:before="120"/>
        <w:rPr>
          <w:color w:val="000000" w:themeColor="text1"/>
        </w:rPr>
      </w:pPr>
      <w:r w:rsidRPr="0015241C">
        <w:rPr>
          <w:color w:val="000000" w:themeColor="text1"/>
        </w:rPr>
        <w:t xml:space="preserve">L’analyse des dispensations </w:t>
      </w:r>
      <w:r>
        <w:rPr>
          <w:color w:val="000000" w:themeColor="text1"/>
        </w:rPr>
        <w:t xml:space="preserve">de la méthadone en ville à partir de la base de données </w:t>
      </w:r>
      <w:r w:rsidRPr="0015241C">
        <w:rPr>
          <w:color w:val="000000" w:themeColor="text1"/>
        </w:rPr>
        <w:t>Medic’</w:t>
      </w:r>
      <w:r>
        <w:rPr>
          <w:color w:val="000000" w:themeColor="text1"/>
        </w:rPr>
        <w:t>AM/</w:t>
      </w:r>
      <w:r w:rsidRPr="00675291">
        <w:t xml:space="preserve">Ameli et celle du GIE GERS Officine indique un nombre d’unités </w:t>
      </w:r>
      <w:r w:rsidR="00675291" w:rsidRPr="00675291">
        <w:t xml:space="preserve">communes de dispensation </w:t>
      </w:r>
      <w:r w:rsidR="00D434CC" w:rsidRPr="00675291">
        <w:t>(UCD) </w:t>
      </w:r>
      <w:r w:rsidRPr="00675291">
        <w:t xml:space="preserve">dispensées </w:t>
      </w:r>
      <w:r>
        <w:rPr>
          <w:color w:val="000000" w:themeColor="text1"/>
        </w:rPr>
        <w:t>ou remboursées da</w:t>
      </w:r>
      <w:r w:rsidR="00A061F2">
        <w:rPr>
          <w:color w:val="000000" w:themeColor="text1"/>
        </w:rPr>
        <w:t>ns</w:t>
      </w:r>
      <w:r>
        <w:rPr>
          <w:color w:val="000000" w:themeColor="text1"/>
        </w:rPr>
        <w:t xml:space="preserve"> les officines </w:t>
      </w:r>
      <w:r w:rsidR="00A061F2">
        <w:rPr>
          <w:color w:val="000000" w:themeColor="text1"/>
        </w:rPr>
        <w:t>qui varie</w:t>
      </w:r>
      <w:r>
        <w:rPr>
          <w:color w:val="000000" w:themeColor="text1"/>
        </w:rPr>
        <w:t xml:space="preserve"> de 13,5 millions </w:t>
      </w:r>
      <w:r w:rsidR="00A061F2">
        <w:rPr>
          <w:color w:val="000000" w:themeColor="text1"/>
        </w:rPr>
        <w:t>à</w:t>
      </w:r>
      <w:r>
        <w:rPr>
          <w:color w:val="000000" w:themeColor="text1"/>
        </w:rPr>
        <w:t xml:space="preserve"> 14,3 millions. La majorité des prescriptions sont effectuées par des prescripteurs exerçant en libéral. </w:t>
      </w:r>
    </w:p>
    <w:p w14:paraId="3C2E82B8" w14:textId="055EC7C0" w:rsidR="00660A6A" w:rsidRDefault="00660A6A" w:rsidP="000E6039">
      <w:pPr>
        <w:rPr>
          <w:color w:val="000000" w:themeColor="text1"/>
        </w:rPr>
      </w:pPr>
      <w:r>
        <w:rPr>
          <w:color w:val="000000" w:themeColor="text1"/>
        </w:rPr>
        <w:t>L’analyse des dispen</w:t>
      </w:r>
      <w:r w:rsidR="00A061F2">
        <w:rPr>
          <w:color w:val="000000" w:themeColor="text1"/>
        </w:rPr>
        <w:t>sations hospi</w:t>
      </w:r>
      <w:r>
        <w:rPr>
          <w:color w:val="000000" w:themeColor="text1"/>
        </w:rPr>
        <w:t>talière</w:t>
      </w:r>
      <w:r w:rsidR="00A061F2">
        <w:rPr>
          <w:color w:val="000000" w:themeColor="text1"/>
        </w:rPr>
        <w:t>s à p</w:t>
      </w:r>
      <w:r>
        <w:rPr>
          <w:color w:val="000000" w:themeColor="text1"/>
        </w:rPr>
        <w:t>artir des do</w:t>
      </w:r>
      <w:r w:rsidR="00A061F2">
        <w:rPr>
          <w:color w:val="000000" w:themeColor="text1"/>
        </w:rPr>
        <w:t>nnées du</w:t>
      </w:r>
      <w:r>
        <w:rPr>
          <w:color w:val="000000" w:themeColor="text1"/>
        </w:rPr>
        <w:t xml:space="preserve"> GIE GERS indique un nombre d’UCD disp</w:t>
      </w:r>
      <w:r w:rsidR="00EC2C16">
        <w:rPr>
          <w:color w:val="000000" w:themeColor="text1"/>
        </w:rPr>
        <w:t>e</w:t>
      </w:r>
      <w:r>
        <w:rPr>
          <w:color w:val="000000" w:themeColor="text1"/>
        </w:rPr>
        <w:t>nsées dans les services hospitalier</w:t>
      </w:r>
      <w:r w:rsidR="00A061F2">
        <w:rPr>
          <w:color w:val="000000" w:themeColor="text1"/>
        </w:rPr>
        <w:t>s</w:t>
      </w:r>
      <w:r w:rsidR="0012235A">
        <w:rPr>
          <w:color w:val="000000" w:themeColor="text1"/>
        </w:rPr>
        <w:t xml:space="preserve"> d</w:t>
      </w:r>
      <w:r w:rsidR="00620C58">
        <w:rPr>
          <w:color w:val="000000" w:themeColor="text1"/>
        </w:rPr>
        <w:t xml:space="preserve">’un peu plus de </w:t>
      </w:r>
      <w:r w:rsidR="0012235A">
        <w:rPr>
          <w:color w:val="000000" w:themeColor="text1"/>
        </w:rPr>
        <w:t>8,4</w:t>
      </w:r>
      <w:r>
        <w:rPr>
          <w:color w:val="000000" w:themeColor="text1"/>
        </w:rPr>
        <w:t xml:space="preserve"> millions</w:t>
      </w:r>
      <w:r w:rsidR="00A061F2" w:rsidRPr="00A061F2">
        <w:rPr>
          <w:color w:val="000000" w:themeColor="text1"/>
        </w:rPr>
        <w:t xml:space="preserve"> </w:t>
      </w:r>
      <w:r w:rsidR="00A061F2">
        <w:rPr>
          <w:color w:val="000000" w:themeColor="text1"/>
        </w:rPr>
        <w:t>en moyenne</w:t>
      </w:r>
      <w:r w:rsidR="0012235A">
        <w:rPr>
          <w:color w:val="000000" w:themeColor="text1"/>
        </w:rPr>
        <w:t xml:space="preserve"> pour la méthadone. </w:t>
      </w:r>
      <w:r>
        <w:rPr>
          <w:color w:val="000000" w:themeColor="text1"/>
        </w:rPr>
        <w:t>D’</w:t>
      </w:r>
      <w:r w:rsidR="00EC2C16">
        <w:rPr>
          <w:color w:val="000000" w:themeColor="text1"/>
        </w:rPr>
        <w:t>après la base de do</w:t>
      </w:r>
      <w:r>
        <w:rPr>
          <w:color w:val="000000" w:themeColor="text1"/>
        </w:rPr>
        <w:t>nnées HospiWard, la méth</w:t>
      </w:r>
      <w:r w:rsidR="0012235A">
        <w:rPr>
          <w:color w:val="000000" w:themeColor="text1"/>
        </w:rPr>
        <w:t>adone</w:t>
      </w:r>
      <w:r>
        <w:rPr>
          <w:color w:val="000000" w:themeColor="text1"/>
        </w:rPr>
        <w:t xml:space="preserve"> e</w:t>
      </w:r>
      <w:r w:rsidR="00EC2C16">
        <w:rPr>
          <w:color w:val="000000" w:themeColor="text1"/>
        </w:rPr>
        <w:t>st principalement dispensée</w:t>
      </w:r>
      <w:r>
        <w:rPr>
          <w:color w:val="000000" w:themeColor="text1"/>
        </w:rPr>
        <w:t xml:space="preserve"> </w:t>
      </w:r>
      <w:r w:rsidR="00EC2C16">
        <w:rPr>
          <w:color w:val="000000" w:themeColor="text1"/>
        </w:rPr>
        <w:t xml:space="preserve">ou consommée </w:t>
      </w:r>
      <w:r>
        <w:rPr>
          <w:color w:val="000000" w:themeColor="text1"/>
        </w:rPr>
        <w:t xml:space="preserve">dans les services d’addictologie </w:t>
      </w:r>
      <w:r w:rsidR="00327ECD">
        <w:rPr>
          <w:color w:val="000000" w:themeColor="text1"/>
        </w:rPr>
        <w:t>ou de</w:t>
      </w:r>
      <w:r>
        <w:rPr>
          <w:color w:val="000000" w:themeColor="text1"/>
        </w:rPr>
        <w:t xml:space="preserve"> toxicologie (40% des UCD), en médecine carcérale (15% à 19%) et </w:t>
      </w:r>
      <w:r w:rsidR="00327ECD">
        <w:rPr>
          <w:color w:val="000000" w:themeColor="text1"/>
        </w:rPr>
        <w:t xml:space="preserve">dans les </w:t>
      </w:r>
      <w:r>
        <w:rPr>
          <w:color w:val="000000" w:themeColor="text1"/>
        </w:rPr>
        <w:t>serv</w:t>
      </w:r>
      <w:r w:rsidR="00327ECD">
        <w:rPr>
          <w:color w:val="000000" w:themeColor="text1"/>
        </w:rPr>
        <w:t xml:space="preserve">ices de psychiatrie (8% à 15%) et </w:t>
      </w:r>
      <w:r>
        <w:rPr>
          <w:color w:val="000000" w:themeColor="text1"/>
        </w:rPr>
        <w:t>d’imagerie et exploration médicale (4%)</w:t>
      </w:r>
      <w:r w:rsidR="0012235A">
        <w:rPr>
          <w:color w:val="000000" w:themeColor="text1"/>
        </w:rPr>
        <w:t xml:space="preserve">. </w:t>
      </w:r>
      <w:r w:rsidR="00340849">
        <w:t>A titre indicatif, l</w:t>
      </w:r>
      <w:r w:rsidR="0012235A">
        <w:rPr>
          <w:color w:val="000000" w:themeColor="text1"/>
        </w:rPr>
        <w:t xml:space="preserve">e nombre d’UCD dispensées dans les services hospitaliers pour </w:t>
      </w:r>
      <w:r w:rsidR="00327ECD">
        <w:rPr>
          <w:color w:val="000000" w:themeColor="text1"/>
        </w:rPr>
        <w:t xml:space="preserve">les spécialités </w:t>
      </w:r>
      <w:r w:rsidR="0012235A">
        <w:rPr>
          <w:color w:val="000000" w:themeColor="text1"/>
        </w:rPr>
        <w:t xml:space="preserve">SOPHIDONE (hydromorphone) </w:t>
      </w:r>
      <w:r w:rsidR="00327ECD" w:rsidRPr="00660A6A">
        <w:t>indiqué</w:t>
      </w:r>
      <w:r w:rsidR="00327ECD">
        <w:t>es</w:t>
      </w:r>
      <w:r w:rsidR="00327ECD" w:rsidRPr="00660A6A">
        <w:t xml:space="preserve"> dans le « </w:t>
      </w:r>
      <w:r w:rsidR="00327ECD">
        <w:t xml:space="preserve">Traitement des douleurs intenses </w:t>
      </w:r>
      <w:r w:rsidR="00327ECD" w:rsidRPr="00E808CF">
        <w:t xml:space="preserve">d'origine cancéreuse en </w:t>
      </w:r>
      <w:r w:rsidR="00327ECD" w:rsidRPr="00FE21F7">
        <w:rPr>
          <w:color w:val="000000" w:themeColor="text1"/>
        </w:rPr>
        <w:t xml:space="preserve">cas de résistance ou d'intolérance aux opioïdes forts » </w:t>
      </w:r>
      <w:r w:rsidR="00620C58">
        <w:rPr>
          <w:color w:val="000000" w:themeColor="text1"/>
        </w:rPr>
        <w:t>est de 88 690</w:t>
      </w:r>
      <w:r w:rsidR="0012235A">
        <w:rPr>
          <w:color w:val="000000" w:themeColor="text1"/>
        </w:rPr>
        <w:t xml:space="preserve"> : </w:t>
      </w:r>
      <w:r w:rsidR="00327ECD">
        <w:rPr>
          <w:color w:val="000000" w:themeColor="text1"/>
        </w:rPr>
        <w:t xml:space="preserve">services de </w:t>
      </w:r>
      <w:r w:rsidR="0012235A">
        <w:rPr>
          <w:color w:val="000000" w:themeColor="text1"/>
        </w:rPr>
        <w:t xml:space="preserve">gérontologie (26%), </w:t>
      </w:r>
      <w:r w:rsidR="00327ECD">
        <w:rPr>
          <w:color w:val="000000" w:themeColor="text1"/>
        </w:rPr>
        <w:t>services d’</w:t>
      </w:r>
      <w:r w:rsidR="0012235A">
        <w:rPr>
          <w:color w:val="000000" w:themeColor="text1"/>
        </w:rPr>
        <w:t>oncologie (19%).</w:t>
      </w:r>
    </w:p>
    <w:p w14:paraId="5055A395" w14:textId="71C97F2B" w:rsidR="00EC2C16" w:rsidRPr="00340849" w:rsidRDefault="00EC2C16" w:rsidP="006A7221">
      <w:pPr>
        <w:spacing w:before="120"/>
        <w:rPr>
          <w:b/>
          <w:color w:val="00B050"/>
        </w:rPr>
      </w:pPr>
      <w:r>
        <w:t xml:space="preserve">Selon l’Etude </w:t>
      </w:r>
      <w:r w:rsidRPr="00660A6A">
        <w:rPr>
          <w:color w:val="000000" w:themeColor="text1"/>
        </w:rPr>
        <w:t>Permanente sur la Prescription Médicale (EPPM) réalisée par IMS-Health auprès d’un panel de méd</w:t>
      </w:r>
      <w:r>
        <w:t xml:space="preserve">ecins libéraux en France métropolitaine et </w:t>
      </w:r>
      <w:r w:rsidRPr="00660A6A">
        <w:t>après extrapolation des données recueillies</w:t>
      </w:r>
      <w:r w:rsidR="00FC1A85">
        <w:t xml:space="preserve"> </w:t>
      </w:r>
      <w:r w:rsidR="00FC1A85" w:rsidRPr="003962CB">
        <w:rPr>
          <w:rFonts w:cs="Arial"/>
          <w:color w:val="000000"/>
          <w:szCs w:val="22"/>
        </w:rPr>
        <w:t xml:space="preserve">(cumul mobile annuel </w:t>
      </w:r>
      <w:r w:rsidR="00FC1A85">
        <w:rPr>
          <w:rFonts w:cs="Arial"/>
          <w:color w:val="000000"/>
          <w:szCs w:val="22"/>
        </w:rPr>
        <w:t>Printemps 2019)</w:t>
      </w:r>
      <w:r>
        <w:t>, le</w:t>
      </w:r>
      <w:r w:rsidR="00077CC8">
        <w:t xml:space="preserve"> nombre de prescriptions de</w:t>
      </w:r>
      <w:r w:rsidR="00FC1A85">
        <w:t>s spécialités à base de</w:t>
      </w:r>
      <w:r w:rsidR="00077CC8">
        <w:t xml:space="preserve"> méthadone est </w:t>
      </w:r>
      <w:r w:rsidR="00FC1A85">
        <w:t xml:space="preserve">estimé </w:t>
      </w:r>
      <w:r w:rsidR="00FC1A85" w:rsidRPr="00FC1A85">
        <w:t>à 453 957 ;</w:t>
      </w:r>
      <w:r w:rsidR="00077CC8" w:rsidRPr="00FC1A85">
        <w:t xml:space="preserve"> </w:t>
      </w:r>
      <w:r w:rsidR="00E46EC4" w:rsidRPr="00FC1A85">
        <w:t xml:space="preserve">dans la grande </w:t>
      </w:r>
      <w:r w:rsidR="00E46EC4" w:rsidRPr="00F66344">
        <w:t>majorité des cas</w:t>
      </w:r>
      <w:r w:rsidR="00FC1A85" w:rsidRPr="00F66344">
        <w:t>,</w:t>
      </w:r>
      <w:r w:rsidR="00E46EC4" w:rsidRPr="00F66344">
        <w:t xml:space="preserve"> </w:t>
      </w:r>
      <w:r w:rsidR="00FC1A85" w:rsidRPr="00F66344">
        <w:t xml:space="preserve">ces prescriptions sont effectuées dans le cadre de </w:t>
      </w:r>
      <w:r w:rsidR="00E46EC4" w:rsidRPr="00F66344">
        <w:t>traitement</w:t>
      </w:r>
      <w:r w:rsidR="00FC1A85" w:rsidRPr="00F66344">
        <w:t>s</w:t>
      </w:r>
      <w:r w:rsidR="00E46EC4" w:rsidRPr="00F66344">
        <w:t xml:space="preserve"> </w:t>
      </w:r>
      <w:r w:rsidR="00FC1A85" w:rsidRPr="00F66344">
        <w:t xml:space="preserve">de substitution </w:t>
      </w:r>
      <w:r w:rsidR="00E46EC4" w:rsidRPr="00F66344">
        <w:t>aux opiacés.</w:t>
      </w:r>
      <w:r w:rsidR="00675291" w:rsidRPr="00F66344">
        <w:t xml:space="preserve"> </w:t>
      </w:r>
      <w:r w:rsidR="00340849" w:rsidRPr="00F66344">
        <w:t>L</w:t>
      </w:r>
      <w:r w:rsidRPr="00F66344">
        <w:t xml:space="preserve">es </w:t>
      </w:r>
      <w:r w:rsidRPr="00660A6A">
        <w:t xml:space="preserve">spécialités SOPHIDONE (hydromorphone) </w:t>
      </w:r>
      <w:r w:rsidRPr="00FE21F7">
        <w:rPr>
          <w:color w:val="000000" w:themeColor="text1"/>
        </w:rPr>
        <w:t xml:space="preserve">ont fait l’objet </w:t>
      </w:r>
      <w:r w:rsidRPr="00970390">
        <w:t xml:space="preserve">de </w:t>
      </w:r>
      <w:r w:rsidR="00E808CF" w:rsidRPr="00970390">
        <w:t>1474</w:t>
      </w:r>
      <w:r w:rsidR="00B37AE8">
        <w:t xml:space="preserve"> prescriptions</w:t>
      </w:r>
      <w:r w:rsidR="00340849">
        <w:t> ; l</w:t>
      </w:r>
      <w:r w:rsidR="00923DDB" w:rsidRPr="007A7754">
        <w:t xml:space="preserve">’instauration de ce traitement qui ne requiert pas l’hospitalisation du patient se fait généralement en ambulatoire. </w:t>
      </w:r>
    </w:p>
    <w:p w14:paraId="409C27CC" w14:textId="1BB2DABF" w:rsidR="00407444" w:rsidRPr="00FE7184" w:rsidRDefault="00407444" w:rsidP="006A7221">
      <w:pPr>
        <w:spacing w:before="120"/>
        <w:rPr>
          <w:bCs/>
        </w:rPr>
      </w:pPr>
      <w:r w:rsidRPr="00FE7184">
        <w:rPr>
          <w:bCs/>
        </w:rPr>
        <w:t>Comp</w:t>
      </w:r>
      <w:r w:rsidR="00102592" w:rsidRPr="00FE7184">
        <w:rPr>
          <w:bCs/>
        </w:rPr>
        <w:t xml:space="preserve">te-tenu du </w:t>
      </w:r>
      <w:r w:rsidR="0006534B" w:rsidRPr="00FE7184">
        <w:rPr>
          <w:bCs/>
        </w:rPr>
        <w:t xml:space="preserve">profil des patients susceptibles de bénéficier d’un traitement par ZORYON, du </w:t>
      </w:r>
      <w:r w:rsidR="00102592" w:rsidRPr="00FE7184">
        <w:rPr>
          <w:bCs/>
        </w:rPr>
        <w:t>nombre de centres ho</w:t>
      </w:r>
      <w:r w:rsidRPr="00FE7184">
        <w:rPr>
          <w:bCs/>
        </w:rPr>
        <w:t>spitaliers</w:t>
      </w:r>
      <w:r w:rsidR="00102592" w:rsidRPr="00FE7184">
        <w:rPr>
          <w:bCs/>
        </w:rPr>
        <w:t xml:space="preserve"> </w:t>
      </w:r>
      <w:r w:rsidRPr="00FE7184">
        <w:rPr>
          <w:bCs/>
        </w:rPr>
        <w:t xml:space="preserve">susceptibles d’instaurer </w:t>
      </w:r>
      <w:r w:rsidR="00CF6B65">
        <w:rPr>
          <w:bCs/>
        </w:rPr>
        <w:t>le</w:t>
      </w:r>
      <w:r w:rsidRPr="00FE7184">
        <w:rPr>
          <w:bCs/>
        </w:rPr>
        <w:t xml:space="preserve"> traitement et des capacités </w:t>
      </w:r>
      <w:r w:rsidR="008B392C" w:rsidRPr="00FE7184">
        <w:rPr>
          <w:bCs/>
        </w:rPr>
        <w:t xml:space="preserve">organisationnelles </w:t>
      </w:r>
      <w:r w:rsidR="00102592" w:rsidRPr="00FE7184">
        <w:rPr>
          <w:bCs/>
        </w:rPr>
        <w:t>de suivi de</w:t>
      </w:r>
      <w:r w:rsidR="0006534B" w:rsidRPr="00FE7184">
        <w:rPr>
          <w:bCs/>
        </w:rPr>
        <w:t xml:space="preserve"> ces </w:t>
      </w:r>
      <w:r w:rsidR="00102592" w:rsidRPr="00FE7184">
        <w:rPr>
          <w:bCs/>
        </w:rPr>
        <w:t>patients par</w:t>
      </w:r>
      <w:r w:rsidRPr="00FE7184">
        <w:rPr>
          <w:bCs/>
        </w:rPr>
        <w:t xml:space="preserve"> </w:t>
      </w:r>
      <w:r w:rsidR="00102592" w:rsidRPr="00FE7184">
        <w:rPr>
          <w:bCs/>
        </w:rPr>
        <w:t xml:space="preserve">des médecins expérimentés dans l’utilisation de la méthadone, </w:t>
      </w:r>
      <w:r w:rsidR="00C03744">
        <w:rPr>
          <w:bCs/>
        </w:rPr>
        <w:t>l’</w:t>
      </w:r>
      <w:r w:rsidR="00102592" w:rsidRPr="00FE7184">
        <w:rPr>
          <w:bCs/>
        </w:rPr>
        <w:t xml:space="preserve">estimation de </w:t>
      </w:r>
      <w:r w:rsidRPr="00FE7184">
        <w:rPr>
          <w:bCs/>
        </w:rPr>
        <w:t>la population ci</w:t>
      </w:r>
      <w:r w:rsidR="00102592" w:rsidRPr="00FE7184">
        <w:rPr>
          <w:bCs/>
        </w:rPr>
        <w:t>ble maximale de cet analgésique</w:t>
      </w:r>
      <w:r w:rsidRPr="00FE7184">
        <w:rPr>
          <w:bCs/>
        </w:rPr>
        <w:t xml:space="preserve"> opioïde</w:t>
      </w:r>
      <w:r w:rsidR="00102592" w:rsidRPr="00FE7184">
        <w:rPr>
          <w:bCs/>
        </w:rPr>
        <w:t xml:space="preserve"> fort </w:t>
      </w:r>
      <w:r w:rsidR="0006534B" w:rsidRPr="00FE7184">
        <w:rPr>
          <w:bCs/>
        </w:rPr>
        <w:t xml:space="preserve">en France </w:t>
      </w:r>
      <w:r w:rsidR="006041E7">
        <w:rPr>
          <w:bCs/>
        </w:rPr>
        <w:t xml:space="preserve">est </w:t>
      </w:r>
      <w:r w:rsidR="00C03744">
        <w:rPr>
          <w:bCs/>
        </w:rPr>
        <w:t>de</w:t>
      </w:r>
      <w:r w:rsidR="00102592" w:rsidRPr="00FE7184">
        <w:rPr>
          <w:bCs/>
        </w:rPr>
        <w:t xml:space="preserve"> </w:t>
      </w:r>
      <w:r w:rsidRPr="00FE7184">
        <w:rPr>
          <w:bCs/>
        </w:rPr>
        <w:t xml:space="preserve">10 000 patients. </w:t>
      </w:r>
    </w:p>
    <w:p w14:paraId="4E5B3D95" w14:textId="4409D52B" w:rsidR="00B93CEB" w:rsidRDefault="00B93CEB" w:rsidP="00EC2C16">
      <w:pPr>
        <w:rPr>
          <w:color w:val="000000" w:themeColor="text1"/>
        </w:rPr>
      </w:pPr>
    </w:p>
    <w:p w14:paraId="1D7C94DA" w14:textId="77777777" w:rsidR="00B93CEB" w:rsidRPr="00690F1A" w:rsidRDefault="00B93CEB" w:rsidP="00B93CEB">
      <w:pPr>
        <w:pStyle w:val="Titre1"/>
      </w:pPr>
      <w:r>
        <w:t xml:space="preserve">Autres </w:t>
      </w:r>
      <w:r w:rsidRPr="00690F1A">
        <w:t>Recommandations de la Commission</w:t>
      </w:r>
    </w:p>
    <w:p w14:paraId="77278EAA" w14:textId="77777777" w:rsidR="006E1EC7" w:rsidRPr="006E1EC7" w:rsidRDefault="00690F1A" w:rsidP="00690F1A">
      <w:pPr>
        <w:pStyle w:val="Titrepuce"/>
      </w:pPr>
      <w:r w:rsidRPr="005A4091">
        <w:t>Conditionnements</w:t>
      </w:r>
      <w:r w:rsidR="00131281">
        <w:t xml:space="preserve"> </w:t>
      </w:r>
    </w:p>
    <w:p w14:paraId="43990505" w14:textId="77777777" w:rsidR="00690F1A" w:rsidRPr="006E1EC7" w:rsidRDefault="00690F1A" w:rsidP="006E1EC7">
      <w:r w:rsidRPr="006E1EC7">
        <w:t>I</w:t>
      </w:r>
      <w:r w:rsidR="00DB6571">
        <w:t>ls sont adaptés</w:t>
      </w:r>
      <w:r w:rsidRPr="006E1EC7">
        <w:t xml:space="preserve"> aux conditions de prescription selon l’indication, la posologie et la durée de traitement.</w:t>
      </w:r>
    </w:p>
    <w:p w14:paraId="606274FE" w14:textId="77777777" w:rsidR="00C4174A" w:rsidRPr="00164A0D" w:rsidRDefault="00C4174A" w:rsidP="00690F1A">
      <w:pPr>
        <w:rPr>
          <w:rFonts w:cs="Arial"/>
          <w:szCs w:val="22"/>
        </w:rPr>
      </w:pPr>
    </w:p>
    <w:p w14:paraId="3C2F2EDB" w14:textId="69A0E378" w:rsidR="00690F1A" w:rsidRDefault="00690F1A" w:rsidP="003825E8">
      <w:pPr>
        <w:pStyle w:val="Titrepuce"/>
      </w:pPr>
      <w:r w:rsidRPr="00015091">
        <w:t>Demandes particulières inhérentes à la prise en charge</w:t>
      </w:r>
    </w:p>
    <w:p w14:paraId="64F4B822" w14:textId="538A7292" w:rsidR="001570DF" w:rsidRPr="005C2D10" w:rsidRDefault="00AE7669" w:rsidP="00B75B38">
      <w:pPr>
        <w:rPr>
          <w:rFonts w:cs="Arial"/>
          <w:color w:val="000000" w:themeColor="text1"/>
        </w:rPr>
      </w:pPr>
      <w:r w:rsidRPr="005C2D10">
        <w:rPr>
          <w:rFonts w:cs="Arial"/>
          <w:color w:val="000000" w:themeColor="text1"/>
        </w:rPr>
        <w:t xml:space="preserve">La Commission souhaite que le traitement par </w:t>
      </w:r>
      <w:r w:rsidR="00A81B9E" w:rsidRPr="005C2D10">
        <w:rPr>
          <w:rFonts w:cs="Arial"/>
          <w:color w:val="000000" w:themeColor="text1"/>
        </w:rPr>
        <w:t xml:space="preserve">naloxone, antidote aux surdoses d'opioïdes, soit </w:t>
      </w:r>
      <w:r w:rsidR="00350655" w:rsidRPr="005C2D10">
        <w:rPr>
          <w:rFonts w:cs="Arial"/>
          <w:color w:val="000000" w:themeColor="text1"/>
        </w:rPr>
        <w:t>rendu</w:t>
      </w:r>
      <w:r w:rsidR="00A81B9E" w:rsidRPr="005C2D10">
        <w:rPr>
          <w:rFonts w:cs="Arial"/>
          <w:color w:val="000000" w:themeColor="text1"/>
        </w:rPr>
        <w:t xml:space="preserve"> accessible </w:t>
      </w:r>
      <w:r w:rsidRPr="005C2D10">
        <w:rPr>
          <w:rFonts w:cs="Arial"/>
          <w:color w:val="000000" w:themeColor="text1"/>
        </w:rPr>
        <w:t>aux</w:t>
      </w:r>
      <w:r w:rsidR="00A81B9E" w:rsidRPr="005C2D10">
        <w:rPr>
          <w:rFonts w:cs="Arial"/>
          <w:color w:val="000000" w:themeColor="text1"/>
        </w:rPr>
        <w:t xml:space="preserve"> patients traités par </w:t>
      </w:r>
      <w:r w:rsidR="001570DF" w:rsidRPr="005C2D10">
        <w:rPr>
          <w:rFonts w:cs="Arial"/>
          <w:color w:val="000000" w:themeColor="text1"/>
        </w:rPr>
        <w:t xml:space="preserve">cet </w:t>
      </w:r>
      <w:r w:rsidR="00A81B9E" w:rsidRPr="005C2D10">
        <w:rPr>
          <w:rFonts w:cs="Arial"/>
          <w:color w:val="000000" w:themeColor="text1"/>
        </w:rPr>
        <w:t>antalgique</w:t>
      </w:r>
      <w:r w:rsidR="00350655" w:rsidRPr="005C2D10">
        <w:rPr>
          <w:rFonts w:cs="Arial"/>
          <w:color w:val="000000" w:themeColor="text1"/>
        </w:rPr>
        <w:t xml:space="preserve"> et à </w:t>
      </w:r>
      <w:r w:rsidR="00B75B38" w:rsidRPr="005C2D10">
        <w:rPr>
          <w:rFonts w:cs="Arial"/>
          <w:color w:val="000000" w:themeColor="text1"/>
        </w:rPr>
        <w:t>leur</w:t>
      </w:r>
      <w:r w:rsidR="00350655" w:rsidRPr="005C2D10">
        <w:rPr>
          <w:rFonts w:cs="Arial"/>
          <w:color w:val="000000" w:themeColor="text1"/>
        </w:rPr>
        <w:t xml:space="preserve"> entourage</w:t>
      </w:r>
      <w:r w:rsidR="001570DF" w:rsidRPr="005C2D10">
        <w:rPr>
          <w:rFonts w:cs="Arial"/>
          <w:color w:val="000000" w:themeColor="text1"/>
        </w:rPr>
        <w:t xml:space="preserve">. </w:t>
      </w:r>
    </w:p>
    <w:p w14:paraId="73519F66" w14:textId="4F0F3606" w:rsidR="00AE7669" w:rsidRPr="00154B41" w:rsidRDefault="00FE7184" w:rsidP="00B75B38">
      <w:pPr>
        <w:autoSpaceDE w:val="0"/>
        <w:autoSpaceDN w:val="0"/>
        <w:adjustRightInd w:val="0"/>
        <w:rPr>
          <w:rFonts w:cs="Arial"/>
          <w:bCs/>
          <w:szCs w:val="22"/>
        </w:rPr>
      </w:pPr>
      <w:r w:rsidRPr="00154B41">
        <w:rPr>
          <w:rFonts w:cs="Arial"/>
          <w:bCs/>
          <w:szCs w:val="22"/>
        </w:rPr>
        <w:t>La naloxone e</w:t>
      </w:r>
      <w:r w:rsidR="001570DF" w:rsidRPr="00154B41">
        <w:rPr>
          <w:rFonts w:cs="Arial"/>
          <w:bCs/>
          <w:szCs w:val="22"/>
        </w:rPr>
        <w:t>st</w:t>
      </w:r>
      <w:r w:rsidR="00C30EA0">
        <w:rPr>
          <w:rFonts w:cs="Arial"/>
          <w:color w:val="000000"/>
          <w:szCs w:val="22"/>
        </w:rPr>
        <w:t xml:space="preserve"> </w:t>
      </w:r>
      <w:r w:rsidR="00154B41" w:rsidRPr="00154B41">
        <w:rPr>
          <w:rFonts w:cs="Arial"/>
          <w:color w:val="000000"/>
          <w:szCs w:val="22"/>
        </w:rPr>
        <w:t>indiqué</w:t>
      </w:r>
      <w:r w:rsidR="00154B41">
        <w:rPr>
          <w:rFonts w:cs="Arial"/>
          <w:color w:val="000000"/>
          <w:szCs w:val="22"/>
        </w:rPr>
        <w:t>e</w:t>
      </w:r>
      <w:r w:rsidR="00154B41" w:rsidRPr="00154B41">
        <w:rPr>
          <w:rFonts w:cs="Arial"/>
          <w:color w:val="000000"/>
          <w:szCs w:val="22"/>
        </w:rPr>
        <w:t xml:space="preserve"> dans le traitement d’urgence des surdosages aux opioïdes, caractérisés ou suspectés, se manifestant par une dépression respiratoire et dans l’attente d’une prise en charge par une structure médicalisée.</w:t>
      </w:r>
    </w:p>
    <w:p w14:paraId="2B07CCDD" w14:textId="77777777" w:rsidR="00C4174A" w:rsidRDefault="00C4174A" w:rsidP="00690F1A">
      <w:pPr>
        <w:rPr>
          <w:rFonts w:cs="Arial"/>
          <w:szCs w:val="22"/>
        </w:rPr>
      </w:pPr>
    </w:p>
    <w:p w14:paraId="654B12EC" w14:textId="77777777" w:rsidR="00690F1A" w:rsidRPr="00015091" w:rsidRDefault="00690F1A" w:rsidP="003825E8">
      <w:pPr>
        <w:pStyle w:val="Titrepuce"/>
      </w:pPr>
      <w:r w:rsidRPr="00015091">
        <w:t>Demandes d</w:t>
      </w:r>
      <w:r w:rsidR="00C4174A" w:rsidRPr="00015091">
        <w:t>e données</w:t>
      </w:r>
    </w:p>
    <w:p w14:paraId="5353E543" w14:textId="015A29E7" w:rsidR="00690F1A" w:rsidRPr="00A66657" w:rsidRDefault="004F7B90" w:rsidP="00690F1A">
      <w:pPr>
        <w:rPr>
          <w:rFonts w:cs="Arial"/>
          <w:szCs w:val="22"/>
        </w:rPr>
      </w:pPr>
      <w:r>
        <w:rPr>
          <w:rFonts w:cs="Arial"/>
          <w:szCs w:val="22"/>
        </w:rPr>
        <w:t>Compte tenu des interrogations portant sur la tolérance et les modalités pratiques d’utilisation du produit par les prescripteurs, l</w:t>
      </w:r>
      <w:r w:rsidR="00C4174A">
        <w:rPr>
          <w:rFonts w:cs="Arial"/>
          <w:szCs w:val="22"/>
        </w:rPr>
        <w:t xml:space="preserve">a Commission </w:t>
      </w:r>
      <w:r w:rsidR="00136A61">
        <w:rPr>
          <w:rFonts w:cs="Arial"/>
          <w:szCs w:val="22"/>
        </w:rPr>
        <w:t xml:space="preserve">souhaite disposer des données, demandées par l’ANSM (cf. </w:t>
      </w:r>
      <w:r w:rsidR="00DB6571" w:rsidRPr="00A66657">
        <w:rPr>
          <w:rFonts w:cs="Arial"/>
          <w:szCs w:val="22"/>
        </w:rPr>
        <w:t>8.6</w:t>
      </w:r>
      <w:r w:rsidR="00136A61">
        <w:rPr>
          <w:rFonts w:cs="Arial"/>
          <w:szCs w:val="22"/>
        </w:rPr>
        <w:t>)</w:t>
      </w:r>
      <w:r w:rsidR="00C4174A" w:rsidRPr="00A66657">
        <w:rPr>
          <w:rFonts w:cs="Arial"/>
          <w:szCs w:val="22"/>
        </w:rPr>
        <w:t xml:space="preserve"> </w:t>
      </w:r>
      <w:r w:rsidR="001B7210" w:rsidRPr="00A66657">
        <w:rPr>
          <w:rFonts w:cs="Arial"/>
          <w:szCs w:val="22"/>
        </w:rPr>
        <w:t>l</w:t>
      </w:r>
      <w:r w:rsidR="00C4174A" w:rsidRPr="00A66657">
        <w:rPr>
          <w:rFonts w:cs="Arial"/>
          <w:szCs w:val="22"/>
        </w:rPr>
        <w:t>ors de sa prochaine éva</w:t>
      </w:r>
      <w:r w:rsidR="00A66657" w:rsidRPr="00A66657">
        <w:rPr>
          <w:rFonts w:cs="Arial"/>
          <w:szCs w:val="22"/>
        </w:rPr>
        <w:t>luation</w:t>
      </w:r>
      <w:r w:rsidR="00DB6571" w:rsidRPr="00A66657">
        <w:rPr>
          <w:rFonts w:cs="Arial"/>
          <w:szCs w:val="22"/>
        </w:rPr>
        <w:t>. La</w:t>
      </w:r>
      <w:r w:rsidR="00861105" w:rsidRPr="00A66657">
        <w:rPr>
          <w:rFonts w:cs="Arial"/>
          <w:szCs w:val="22"/>
        </w:rPr>
        <w:t xml:space="preserve"> Commiss</w:t>
      </w:r>
      <w:r w:rsidR="00DB6571" w:rsidRPr="00A66657">
        <w:rPr>
          <w:rFonts w:cs="Arial"/>
          <w:szCs w:val="22"/>
        </w:rPr>
        <w:t>ion étudiera l’opportunité de</w:t>
      </w:r>
      <w:r w:rsidR="00861105" w:rsidRPr="00A66657">
        <w:rPr>
          <w:rFonts w:cs="Arial"/>
          <w:szCs w:val="22"/>
        </w:rPr>
        <w:t xml:space="preserve"> prendre en considération</w:t>
      </w:r>
      <w:r w:rsidR="00DB6571" w:rsidRPr="00A66657">
        <w:rPr>
          <w:rFonts w:cs="Arial"/>
          <w:szCs w:val="22"/>
        </w:rPr>
        <w:t xml:space="preserve"> les résultats de cette étude</w:t>
      </w:r>
      <w:r w:rsidR="00136A61">
        <w:rPr>
          <w:rFonts w:cs="Arial"/>
          <w:szCs w:val="22"/>
        </w:rPr>
        <w:t>.</w:t>
      </w:r>
    </w:p>
    <w:p w14:paraId="548F0FC8" w14:textId="77777777" w:rsidR="00694087" w:rsidRPr="00B90CEA" w:rsidRDefault="00694087" w:rsidP="00690F1A">
      <w:pPr>
        <w:rPr>
          <w:rFonts w:cs="Arial"/>
          <w:szCs w:val="22"/>
        </w:rPr>
      </w:pPr>
    </w:p>
    <w:p w14:paraId="7E945413" w14:textId="09BE209B" w:rsidR="0081429A" w:rsidRDefault="00690F1A" w:rsidP="00914350">
      <w:pPr>
        <w:pStyle w:val="Titrepuce"/>
      </w:pPr>
      <w:r w:rsidRPr="003825E8">
        <w:t>Autres demand</w:t>
      </w:r>
      <w:r w:rsidR="00105F86">
        <w:t>e</w:t>
      </w:r>
      <w:r w:rsidR="008F3DBE">
        <w:t>s</w:t>
      </w:r>
    </w:p>
    <w:p w14:paraId="44697D49" w14:textId="2F9E1A3A" w:rsidR="004B2676" w:rsidRPr="004B2676" w:rsidRDefault="004B2676" w:rsidP="004B2676">
      <w:pPr>
        <w:autoSpaceDE w:val="0"/>
        <w:autoSpaceDN w:val="0"/>
        <w:adjustRightInd w:val="0"/>
        <w:rPr>
          <w:rFonts w:cs="Arial"/>
          <w:szCs w:val="22"/>
        </w:rPr>
      </w:pPr>
      <w:r w:rsidRPr="00A46060">
        <w:rPr>
          <w:rFonts w:cs="Arial"/>
          <w:szCs w:val="22"/>
        </w:rPr>
        <w:t xml:space="preserve">Après </w:t>
      </w:r>
      <w:r w:rsidR="009315D8">
        <w:rPr>
          <w:rFonts w:cs="Arial"/>
          <w:szCs w:val="22"/>
        </w:rPr>
        <w:t>obtention de la posologie optimale</w:t>
      </w:r>
      <w:r w:rsidRPr="00A46060">
        <w:rPr>
          <w:rFonts w:cs="Arial"/>
          <w:szCs w:val="22"/>
        </w:rPr>
        <w:t xml:space="preserve">, la poursuite </w:t>
      </w:r>
      <w:r w:rsidR="009315D8">
        <w:rPr>
          <w:rFonts w:cs="Arial"/>
          <w:szCs w:val="22"/>
        </w:rPr>
        <w:t>éventuel</w:t>
      </w:r>
      <w:r w:rsidR="00C302C8">
        <w:rPr>
          <w:rFonts w:cs="Arial"/>
          <w:szCs w:val="22"/>
        </w:rPr>
        <w:t>le</w:t>
      </w:r>
      <w:r w:rsidR="009315D8">
        <w:rPr>
          <w:rFonts w:cs="Arial"/>
          <w:szCs w:val="22"/>
        </w:rPr>
        <w:t xml:space="preserve"> </w:t>
      </w:r>
      <w:r w:rsidRPr="00A46060">
        <w:rPr>
          <w:rFonts w:cs="Arial"/>
          <w:szCs w:val="22"/>
        </w:rPr>
        <w:t>du traitement à domicile</w:t>
      </w:r>
      <w:r w:rsidR="00AE2353">
        <w:rPr>
          <w:rFonts w:cs="Arial"/>
          <w:szCs w:val="22"/>
        </w:rPr>
        <w:t xml:space="preserve"> </w:t>
      </w:r>
      <w:r w:rsidRPr="00A46060">
        <w:rPr>
          <w:rFonts w:cs="Arial"/>
          <w:szCs w:val="22"/>
        </w:rPr>
        <w:t xml:space="preserve">nécessite </w:t>
      </w:r>
      <w:r w:rsidRPr="004B2676">
        <w:rPr>
          <w:rFonts w:cs="Arial"/>
          <w:szCs w:val="22"/>
        </w:rPr>
        <w:t>une collaboration étroite entre l’équipe hospitalière qui a instauré le tra</w:t>
      </w:r>
      <w:r w:rsidR="00752B27">
        <w:rPr>
          <w:rFonts w:cs="Arial"/>
          <w:szCs w:val="22"/>
        </w:rPr>
        <w:t>itement et le médecin traitant</w:t>
      </w:r>
      <w:r w:rsidR="00AE2353">
        <w:rPr>
          <w:rFonts w:cs="Arial"/>
          <w:szCs w:val="22"/>
        </w:rPr>
        <w:t>,</w:t>
      </w:r>
      <w:r w:rsidR="00AE2353" w:rsidRPr="00AE2353">
        <w:rPr>
          <w:rFonts w:cs="Arial"/>
          <w:szCs w:val="22"/>
        </w:rPr>
        <w:t xml:space="preserve"> </w:t>
      </w:r>
      <w:r w:rsidR="00AE2353">
        <w:rPr>
          <w:rFonts w:cs="Arial"/>
          <w:szCs w:val="22"/>
        </w:rPr>
        <w:t>le cas échéant</w:t>
      </w:r>
      <w:r w:rsidR="00AE2353" w:rsidRPr="004B2676">
        <w:rPr>
          <w:rFonts w:cs="Arial"/>
          <w:szCs w:val="22"/>
        </w:rPr>
        <w:t xml:space="preserve"> dans le cadre d’une HAD ou d</w:t>
      </w:r>
      <w:r w:rsidR="00AE2353">
        <w:rPr>
          <w:rFonts w:cs="Arial"/>
          <w:szCs w:val="22"/>
        </w:rPr>
        <w:t>’un réseau de soins palliatifs.</w:t>
      </w:r>
    </w:p>
    <w:p w14:paraId="385704A8" w14:textId="6ABCC09E" w:rsidR="00612F7A" w:rsidRPr="00A46060" w:rsidRDefault="00612F7A" w:rsidP="00C302C8">
      <w:pPr>
        <w:autoSpaceDE w:val="0"/>
        <w:autoSpaceDN w:val="0"/>
        <w:adjustRightInd w:val="0"/>
        <w:spacing w:before="60"/>
        <w:rPr>
          <w:rFonts w:cs="Arial"/>
          <w:szCs w:val="22"/>
        </w:rPr>
      </w:pPr>
      <w:r w:rsidRPr="00A46060">
        <w:rPr>
          <w:rFonts w:cs="Arial"/>
          <w:szCs w:val="22"/>
        </w:rPr>
        <w:t xml:space="preserve">La </w:t>
      </w:r>
      <w:r w:rsidR="00C30EA0" w:rsidRPr="00A46060">
        <w:rPr>
          <w:rFonts w:cs="Arial"/>
          <w:szCs w:val="22"/>
        </w:rPr>
        <w:t xml:space="preserve">Commission </w:t>
      </w:r>
      <w:r w:rsidRPr="00A46060">
        <w:rPr>
          <w:rFonts w:cs="Arial"/>
          <w:szCs w:val="22"/>
        </w:rPr>
        <w:t>recommande l</w:t>
      </w:r>
      <w:r w:rsidRPr="00A46060">
        <w:rPr>
          <w:rFonts w:cs="Arial"/>
          <w:bCs/>
          <w:szCs w:val="22"/>
        </w:rPr>
        <w:t xml:space="preserve">a réalisation </w:t>
      </w:r>
      <w:r>
        <w:rPr>
          <w:rFonts w:cs="Arial"/>
          <w:bCs/>
          <w:szCs w:val="22"/>
        </w:rPr>
        <w:t xml:space="preserve">et la diffusion </w:t>
      </w:r>
      <w:r w:rsidRPr="00A46060">
        <w:rPr>
          <w:rFonts w:cs="Arial"/>
          <w:bCs/>
          <w:szCs w:val="22"/>
        </w:rPr>
        <w:t>d</w:t>
      </w:r>
      <w:r>
        <w:rPr>
          <w:rFonts w:cs="Arial"/>
          <w:bCs/>
          <w:szCs w:val="22"/>
        </w:rPr>
        <w:t xml:space="preserve">e documents techniques sur l’utilisation de la méthadone dans son indication antalgique </w:t>
      </w:r>
      <w:r w:rsidRPr="00A46060">
        <w:rPr>
          <w:rFonts w:cs="Arial"/>
          <w:bCs/>
          <w:szCs w:val="22"/>
        </w:rPr>
        <w:t xml:space="preserve">à destination des </w:t>
      </w:r>
      <w:r w:rsidR="007D55A8">
        <w:rPr>
          <w:rFonts w:cs="Arial"/>
          <w:bCs/>
          <w:szCs w:val="22"/>
        </w:rPr>
        <w:t>professionnels de santé</w:t>
      </w:r>
      <w:r w:rsidRPr="00A46060">
        <w:rPr>
          <w:rFonts w:cs="Arial"/>
          <w:bCs/>
          <w:szCs w:val="22"/>
        </w:rPr>
        <w:t xml:space="preserve">, notamment ceux qui n’exercent pas dans des centres spécialisés, </w:t>
      </w:r>
      <w:r>
        <w:rPr>
          <w:rFonts w:cs="Arial"/>
          <w:bCs/>
          <w:szCs w:val="22"/>
        </w:rPr>
        <w:t>et de documents d’information à destination des patients</w:t>
      </w:r>
      <w:r w:rsidRPr="00A46060">
        <w:rPr>
          <w:rFonts w:cs="Arial"/>
          <w:bCs/>
          <w:szCs w:val="22"/>
        </w:rPr>
        <w:t>.</w:t>
      </w:r>
      <w:r w:rsidRPr="00A46060">
        <w:rPr>
          <w:rFonts w:cs="Arial"/>
          <w:szCs w:val="22"/>
        </w:rPr>
        <w:t xml:space="preserve"> </w:t>
      </w:r>
    </w:p>
    <w:p w14:paraId="63A3FAEC" w14:textId="48A8CDE6" w:rsidR="002F5CE0" w:rsidRPr="006A7221" w:rsidRDefault="00585645" w:rsidP="006A7221">
      <w:pPr>
        <w:autoSpaceDE w:val="0"/>
        <w:autoSpaceDN w:val="0"/>
        <w:adjustRightInd w:val="0"/>
        <w:spacing w:before="60"/>
        <w:rPr>
          <w:rFonts w:cs="Arial"/>
          <w:bCs/>
          <w:color w:val="000000" w:themeColor="text1"/>
          <w:szCs w:val="22"/>
        </w:rPr>
      </w:pPr>
      <w:r>
        <w:rPr>
          <w:rFonts w:cs="Arial"/>
          <w:bCs/>
          <w:color w:val="000000" w:themeColor="text1"/>
          <w:szCs w:val="22"/>
        </w:rPr>
        <w:t xml:space="preserve">La commercialisation </w:t>
      </w:r>
      <w:r w:rsidR="00102592" w:rsidRPr="00102592">
        <w:rPr>
          <w:rFonts w:cs="Arial"/>
          <w:bCs/>
          <w:color w:val="000000" w:themeColor="text1"/>
          <w:szCs w:val="22"/>
        </w:rPr>
        <w:t xml:space="preserve">d’une forme injectable de la méthadone </w:t>
      </w:r>
      <w:r>
        <w:rPr>
          <w:rFonts w:cs="Arial"/>
          <w:bCs/>
          <w:color w:val="000000" w:themeColor="text1"/>
          <w:szCs w:val="22"/>
        </w:rPr>
        <w:t xml:space="preserve">dans l’indication </w:t>
      </w:r>
      <w:r w:rsidR="00102592" w:rsidRPr="00102592">
        <w:rPr>
          <w:rFonts w:cs="Arial"/>
          <w:bCs/>
          <w:color w:val="000000" w:themeColor="text1"/>
          <w:szCs w:val="22"/>
        </w:rPr>
        <w:t>serait souhaitable.</w:t>
      </w:r>
      <w:r w:rsidR="00A53EE5" w:rsidRPr="00A53EE5">
        <w:t xml:space="preserve"> </w:t>
      </w:r>
      <w:r w:rsidR="00A53EE5">
        <w:t xml:space="preserve">Des ATU </w:t>
      </w:r>
      <w:r w:rsidR="000526DD">
        <w:t xml:space="preserve">nominatives </w:t>
      </w:r>
      <w:r w:rsidR="00A53EE5">
        <w:t xml:space="preserve">de méthadone injectable </w:t>
      </w:r>
      <w:r w:rsidR="00BB3DC8">
        <w:t xml:space="preserve">sont délivrées par l’ANSM dans le cadre de traitements antalgiques. </w:t>
      </w:r>
    </w:p>
    <w:sectPr w:rsidR="002F5CE0" w:rsidRPr="006A7221" w:rsidSect="00AE0AB5">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B1EA" w14:textId="77777777" w:rsidR="00B84421" w:rsidRDefault="00B84421">
      <w:r>
        <w:separator/>
      </w:r>
    </w:p>
    <w:p w14:paraId="538D1A79" w14:textId="77777777" w:rsidR="00B84421" w:rsidRDefault="00B84421"/>
    <w:p w14:paraId="673D8433" w14:textId="77777777" w:rsidR="00B84421" w:rsidRDefault="00B84421"/>
    <w:p w14:paraId="3E05761D" w14:textId="77777777" w:rsidR="00B84421" w:rsidRDefault="00B84421"/>
    <w:p w14:paraId="72910B5A" w14:textId="77777777" w:rsidR="00B84421" w:rsidRDefault="00B84421" w:rsidP="009C68E1"/>
    <w:p w14:paraId="416D6D36" w14:textId="77777777" w:rsidR="00B84421" w:rsidRDefault="00B84421"/>
  </w:endnote>
  <w:endnote w:type="continuationSeparator" w:id="0">
    <w:p w14:paraId="09F76FC4" w14:textId="77777777" w:rsidR="00B84421" w:rsidRDefault="00B84421">
      <w:r>
        <w:continuationSeparator/>
      </w:r>
    </w:p>
    <w:p w14:paraId="7487593D" w14:textId="77777777" w:rsidR="00B84421" w:rsidRDefault="00B84421"/>
    <w:p w14:paraId="07776B5B" w14:textId="77777777" w:rsidR="00B84421" w:rsidRDefault="00B84421"/>
    <w:p w14:paraId="0B5E2EA5" w14:textId="77777777" w:rsidR="00B84421" w:rsidRDefault="00B84421"/>
    <w:p w14:paraId="37302657" w14:textId="77777777" w:rsidR="00B84421" w:rsidRDefault="00B84421" w:rsidP="009C68E1"/>
    <w:p w14:paraId="4D3BAC80" w14:textId="77777777" w:rsidR="00B84421" w:rsidRDefault="00B84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Tunga">
    <w:panose1 w:val="00000400000000000000"/>
    <w:charset w:val="00"/>
    <w:family w:val="swiss"/>
    <w:pitch w:val="variable"/>
    <w:sig w:usb0="00400003" w:usb1="00000000" w:usb2="00000000" w:usb3="00000000" w:csb0="00000001" w:csb1="00000000"/>
  </w:font>
  <w:font w:name="SourceSansPro-I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6A24" w14:textId="77777777" w:rsidR="00D269C6" w:rsidRDefault="00D269C6">
    <w:pPr>
      <w:pStyle w:val="Pieddepage"/>
    </w:pPr>
  </w:p>
  <w:p w14:paraId="6DD1B800" w14:textId="77777777" w:rsidR="00D269C6" w:rsidRDefault="00D269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4B79" w14:textId="77777777" w:rsidR="00D269C6" w:rsidRDefault="00D269C6" w:rsidP="00D61B79">
    <w:pPr>
      <w:pStyle w:val="Pieddepage"/>
      <w:rPr>
        <w:rStyle w:val="Numrodepage"/>
        <w:rFonts w:cs="Arial"/>
        <w:b/>
        <w:color w:val="808080"/>
        <w:sz w:val="20"/>
      </w:rPr>
    </w:pPr>
    <w:r w:rsidRPr="00432980">
      <w:rPr>
        <w:rFonts w:cs="Arial"/>
        <w:b/>
        <w:color w:val="808080"/>
        <w:sz w:val="20"/>
      </w:rPr>
      <w:t>HAS - Direction de l'Evaluation Médicale, Economique et de Santé Publique</w:t>
    </w:r>
    <w:r w:rsidRPr="00432980">
      <w:rPr>
        <w:rStyle w:val="Numrodepage"/>
        <w:rFonts w:cs="Arial"/>
        <w:b/>
        <w:color w:val="808080"/>
      </w:rPr>
      <w:tab/>
    </w:r>
    <w:r w:rsidRPr="00432980">
      <w:rPr>
        <w:rStyle w:val="Numrodepage"/>
        <w:rFonts w:cs="Arial"/>
        <w:b/>
        <w:color w:val="808080"/>
        <w:sz w:val="20"/>
      </w:rPr>
      <w:fldChar w:fldCharType="begin"/>
    </w:r>
    <w:r w:rsidRPr="00432980">
      <w:rPr>
        <w:rStyle w:val="Numrodepage"/>
        <w:rFonts w:cs="Arial"/>
        <w:b/>
        <w:color w:val="808080"/>
        <w:sz w:val="20"/>
      </w:rPr>
      <w:instrText xml:space="preserve"> PAGE </w:instrText>
    </w:r>
    <w:r w:rsidRPr="00432980">
      <w:rPr>
        <w:rStyle w:val="Numrodepage"/>
        <w:rFonts w:cs="Arial"/>
        <w:b/>
        <w:color w:val="808080"/>
        <w:sz w:val="20"/>
      </w:rPr>
      <w:fldChar w:fldCharType="separate"/>
    </w:r>
    <w:r w:rsidR="0056781C">
      <w:rPr>
        <w:rStyle w:val="Numrodepage"/>
        <w:rFonts w:cs="Arial"/>
        <w:b/>
        <w:noProof/>
        <w:color w:val="808080"/>
        <w:sz w:val="20"/>
      </w:rPr>
      <w:t>1</w:t>
    </w:r>
    <w:r w:rsidRPr="00432980">
      <w:rPr>
        <w:rStyle w:val="Numrodepage"/>
        <w:rFonts w:cs="Arial"/>
        <w:b/>
        <w:color w:val="808080"/>
        <w:sz w:val="20"/>
      </w:rPr>
      <w:fldChar w:fldCharType="end"/>
    </w:r>
    <w:r w:rsidRPr="00432980">
      <w:rPr>
        <w:rStyle w:val="Numrodepage"/>
        <w:rFonts w:cs="Arial"/>
        <w:b/>
        <w:color w:val="808080"/>
        <w:sz w:val="20"/>
      </w:rPr>
      <w:t>/</w:t>
    </w:r>
    <w:r w:rsidRPr="00432980">
      <w:rPr>
        <w:rStyle w:val="Numrodepage"/>
        <w:rFonts w:cs="Arial"/>
        <w:b/>
        <w:color w:val="808080"/>
        <w:sz w:val="20"/>
      </w:rPr>
      <w:fldChar w:fldCharType="begin"/>
    </w:r>
    <w:r w:rsidRPr="00432980">
      <w:rPr>
        <w:rStyle w:val="Numrodepage"/>
        <w:rFonts w:cs="Arial"/>
        <w:b/>
        <w:color w:val="808080"/>
        <w:sz w:val="20"/>
      </w:rPr>
      <w:instrText xml:space="preserve"> NUMPAGES </w:instrText>
    </w:r>
    <w:r w:rsidRPr="00432980">
      <w:rPr>
        <w:rStyle w:val="Numrodepage"/>
        <w:rFonts w:cs="Arial"/>
        <w:b/>
        <w:color w:val="808080"/>
        <w:sz w:val="20"/>
      </w:rPr>
      <w:fldChar w:fldCharType="separate"/>
    </w:r>
    <w:r w:rsidR="0056781C">
      <w:rPr>
        <w:rStyle w:val="Numrodepage"/>
        <w:rFonts w:cs="Arial"/>
        <w:b/>
        <w:noProof/>
        <w:color w:val="808080"/>
        <w:sz w:val="20"/>
      </w:rPr>
      <w:t>1</w:t>
    </w:r>
    <w:r w:rsidRPr="00432980">
      <w:rPr>
        <w:rStyle w:val="Numrodepage"/>
        <w:rFonts w:cs="Arial"/>
        <w:b/>
        <w:color w:val="808080"/>
        <w:sz w:val="20"/>
      </w:rPr>
      <w:fldChar w:fldCharType="end"/>
    </w:r>
  </w:p>
  <w:p w14:paraId="57382FEE" w14:textId="08A37518" w:rsidR="00D269C6" w:rsidRPr="00EB0B9F" w:rsidRDefault="00D269C6" w:rsidP="00EB0B9F">
    <w:pPr>
      <w:pStyle w:val="Pieddepage"/>
      <w:rPr>
        <w:rFonts w:cs="Arial"/>
        <w:b/>
        <w:color w:val="808080"/>
      </w:rPr>
    </w:pPr>
    <w:r>
      <w:rPr>
        <w:rStyle w:val="Numrodepage"/>
        <w:rFonts w:cs="Arial"/>
        <w:b/>
        <w:color w:val="808080"/>
        <w:sz w:val="20"/>
      </w:rPr>
      <w:t>Avis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66BE" w14:textId="77777777" w:rsidR="00D269C6" w:rsidRDefault="00D269C6" w:rsidP="00EB0B9F">
    <w:pPr>
      <w:pStyle w:val="Pieddepage"/>
      <w:rPr>
        <w:rStyle w:val="Numrodepage"/>
        <w:rFonts w:cs="Arial"/>
        <w:b/>
        <w:color w:val="808080"/>
        <w:sz w:val="20"/>
      </w:rPr>
    </w:pPr>
    <w:r w:rsidRPr="00432980">
      <w:rPr>
        <w:rFonts w:cs="Arial"/>
        <w:b/>
        <w:color w:val="808080"/>
        <w:sz w:val="20"/>
      </w:rPr>
      <w:t>HAS - Direction de l'Evaluation Médicale, Economique et de Santé Publique</w:t>
    </w:r>
    <w:r w:rsidRPr="00432980">
      <w:rPr>
        <w:rStyle w:val="Numrodepage"/>
        <w:rFonts w:cs="Arial"/>
        <w:b/>
        <w:color w:val="808080"/>
      </w:rPr>
      <w:tab/>
    </w:r>
    <w:r w:rsidRPr="00432980">
      <w:rPr>
        <w:rStyle w:val="Numrodepage"/>
        <w:rFonts w:cs="Arial"/>
        <w:b/>
        <w:color w:val="808080"/>
        <w:sz w:val="20"/>
      </w:rPr>
      <w:fldChar w:fldCharType="begin"/>
    </w:r>
    <w:r w:rsidRPr="00432980">
      <w:rPr>
        <w:rStyle w:val="Numrodepage"/>
        <w:rFonts w:cs="Arial"/>
        <w:b/>
        <w:color w:val="808080"/>
        <w:sz w:val="20"/>
      </w:rPr>
      <w:instrText xml:space="preserve"> PAGE </w:instrText>
    </w:r>
    <w:r w:rsidRPr="00432980">
      <w:rPr>
        <w:rStyle w:val="Numrodepage"/>
        <w:rFonts w:cs="Arial"/>
        <w:b/>
        <w:color w:val="808080"/>
        <w:sz w:val="20"/>
      </w:rPr>
      <w:fldChar w:fldCharType="separate"/>
    </w:r>
    <w:r>
      <w:rPr>
        <w:rStyle w:val="Numrodepage"/>
        <w:rFonts w:cs="Arial"/>
        <w:b/>
        <w:noProof/>
        <w:color w:val="808080"/>
        <w:sz w:val="20"/>
      </w:rPr>
      <w:t>1</w:t>
    </w:r>
    <w:r w:rsidRPr="00432980">
      <w:rPr>
        <w:rStyle w:val="Numrodepage"/>
        <w:rFonts w:cs="Arial"/>
        <w:b/>
        <w:color w:val="808080"/>
        <w:sz w:val="20"/>
      </w:rPr>
      <w:fldChar w:fldCharType="end"/>
    </w:r>
    <w:r w:rsidRPr="00432980">
      <w:rPr>
        <w:rStyle w:val="Numrodepage"/>
        <w:rFonts w:cs="Arial"/>
        <w:b/>
        <w:color w:val="808080"/>
        <w:sz w:val="20"/>
      </w:rPr>
      <w:t>/</w:t>
    </w:r>
    <w:r w:rsidRPr="00432980">
      <w:rPr>
        <w:rStyle w:val="Numrodepage"/>
        <w:rFonts w:cs="Arial"/>
        <w:b/>
        <w:color w:val="808080"/>
        <w:sz w:val="20"/>
      </w:rPr>
      <w:fldChar w:fldCharType="begin"/>
    </w:r>
    <w:r w:rsidRPr="00432980">
      <w:rPr>
        <w:rStyle w:val="Numrodepage"/>
        <w:rFonts w:cs="Arial"/>
        <w:b/>
        <w:color w:val="808080"/>
        <w:sz w:val="20"/>
      </w:rPr>
      <w:instrText xml:space="preserve"> NUMPAGES </w:instrText>
    </w:r>
    <w:r w:rsidRPr="00432980">
      <w:rPr>
        <w:rStyle w:val="Numrodepage"/>
        <w:rFonts w:cs="Arial"/>
        <w:b/>
        <w:color w:val="808080"/>
        <w:sz w:val="20"/>
      </w:rPr>
      <w:fldChar w:fldCharType="separate"/>
    </w:r>
    <w:r w:rsidR="00645E9A">
      <w:rPr>
        <w:rStyle w:val="Numrodepage"/>
        <w:rFonts w:cs="Arial"/>
        <w:b/>
        <w:noProof/>
        <w:color w:val="808080"/>
        <w:sz w:val="20"/>
      </w:rPr>
      <w:t>27</w:t>
    </w:r>
    <w:r w:rsidRPr="00432980">
      <w:rPr>
        <w:rStyle w:val="Numrodepage"/>
        <w:rFonts w:cs="Arial"/>
        <w:b/>
        <w:color w:val="808080"/>
        <w:sz w:val="20"/>
      </w:rPr>
      <w:fldChar w:fldCharType="end"/>
    </w:r>
  </w:p>
  <w:p w14:paraId="28544E6F" w14:textId="77777777" w:rsidR="00D269C6" w:rsidRPr="00EB0B9F" w:rsidRDefault="00D269C6">
    <w:pPr>
      <w:pStyle w:val="Pieddepage"/>
      <w:rPr>
        <w:rFonts w:cs="Arial"/>
        <w:b/>
        <w:color w:val="808080"/>
      </w:rPr>
    </w:pPr>
    <w:r>
      <w:rPr>
        <w:rStyle w:val="Numrodepage"/>
        <w:rFonts w:cs="Arial"/>
        <w:b/>
        <w:color w:val="808080"/>
        <w:sz w:val="20"/>
      </w:rPr>
      <w:t>DP/PA/Avis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2743C" w14:textId="77777777" w:rsidR="00B84421" w:rsidRDefault="00B84421">
      <w:r>
        <w:separator/>
      </w:r>
    </w:p>
  </w:footnote>
  <w:footnote w:type="continuationSeparator" w:id="0">
    <w:p w14:paraId="44F20B8B" w14:textId="77777777" w:rsidR="00B84421" w:rsidRDefault="00B84421" w:rsidP="00C34057">
      <w:r>
        <w:separator/>
      </w:r>
    </w:p>
  </w:footnote>
  <w:footnote w:type="continuationNotice" w:id="1">
    <w:p w14:paraId="7EA435CD" w14:textId="77777777" w:rsidR="00B84421" w:rsidRDefault="00B84421" w:rsidP="00C34057">
      <w:r>
        <w:separator/>
      </w:r>
    </w:p>
  </w:footnote>
  <w:footnote w:id="2">
    <w:p w14:paraId="03665527" w14:textId="50AA8412" w:rsidR="00D269C6" w:rsidRPr="008E2555" w:rsidRDefault="00D269C6" w:rsidP="00C712C7">
      <w:pPr>
        <w:pStyle w:val="Notedebasdepage"/>
        <w:rPr>
          <w:sz w:val="18"/>
          <w:szCs w:val="18"/>
        </w:rPr>
      </w:pPr>
      <w:r w:rsidRPr="000F608B">
        <w:rPr>
          <w:rStyle w:val="Appelnotedebasdep"/>
          <w:sz w:val="18"/>
          <w:szCs w:val="18"/>
        </w:rPr>
        <w:footnoteRef/>
      </w:r>
      <w:r w:rsidRPr="000F608B">
        <w:rPr>
          <w:sz w:val="18"/>
          <w:szCs w:val="18"/>
        </w:rPr>
        <w:t xml:space="preserve"> </w:t>
      </w:r>
      <w:r w:rsidRPr="008E2555">
        <w:rPr>
          <w:sz w:val="18"/>
          <w:szCs w:val="18"/>
        </w:rPr>
        <w:t>Fédération Nationale des Centres de Lutte Contre le Cancer : Standards, Options et Recommandations 2002 pour les traitements antalgiques médicamenteux des douleurs cancéreuses par excès de nociception chez l’adulte, mise à jour.</w:t>
      </w:r>
      <w:r>
        <w:rPr>
          <w:sz w:val="18"/>
          <w:szCs w:val="18"/>
        </w:rPr>
        <w:t xml:space="preserve"> </w:t>
      </w:r>
    </w:p>
  </w:footnote>
  <w:footnote w:id="3">
    <w:p w14:paraId="6FAE94D2" w14:textId="6905D0D2" w:rsidR="00D269C6" w:rsidRPr="000A5338" w:rsidRDefault="00D269C6" w:rsidP="00C712C7">
      <w:pPr>
        <w:pStyle w:val="Notedebasdepage"/>
        <w:rPr>
          <w:sz w:val="18"/>
          <w:szCs w:val="18"/>
        </w:rPr>
      </w:pPr>
      <w:r w:rsidRPr="008E2555">
        <w:rPr>
          <w:rStyle w:val="Appelnotedebasdep"/>
          <w:sz w:val="18"/>
          <w:szCs w:val="18"/>
        </w:rPr>
        <w:footnoteRef/>
      </w:r>
      <w:r w:rsidRPr="008E2555">
        <w:rPr>
          <w:sz w:val="18"/>
          <w:szCs w:val="18"/>
        </w:rPr>
        <w:t xml:space="preserve"> Afssaps, </w:t>
      </w:r>
      <w:r w:rsidRPr="000A5338">
        <w:rPr>
          <w:sz w:val="18"/>
          <w:szCs w:val="18"/>
        </w:rPr>
        <w:t>Recommandations de bonne pratique : Douleur rebelle en situation palliative avancée chez l’adulte, 2010.</w:t>
      </w:r>
    </w:p>
  </w:footnote>
  <w:footnote w:id="4">
    <w:p w14:paraId="5E085A51" w14:textId="5C4D889D" w:rsidR="00D269C6" w:rsidRPr="00B1556F" w:rsidRDefault="00D269C6" w:rsidP="00C712C7">
      <w:pPr>
        <w:pStyle w:val="Notedebasdepage"/>
        <w:rPr>
          <w:rFonts w:cs="Arial"/>
          <w:sz w:val="18"/>
          <w:szCs w:val="18"/>
        </w:rPr>
      </w:pPr>
      <w:r w:rsidRPr="000A5338">
        <w:rPr>
          <w:rStyle w:val="Appelnotedebasdep"/>
          <w:sz w:val="18"/>
          <w:szCs w:val="18"/>
        </w:rPr>
        <w:footnoteRef/>
      </w:r>
      <w:r w:rsidRPr="000A5338">
        <w:rPr>
          <w:sz w:val="18"/>
          <w:szCs w:val="18"/>
        </w:rPr>
        <w:t xml:space="preserve"> </w:t>
      </w:r>
      <w:r w:rsidRPr="00B1556F">
        <w:rPr>
          <w:rFonts w:cs="Arial"/>
          <w:sz w:val="18"/>
          <w:szCs w:val="18"/>
        </w:rPr>
        <w:t xml:space="preserve">Poulain P. et al. Mise au point sur l’utilisation pratique de la méthadone dans le cadre des douleurs en oncologie, Juin 2014 </w:t>
      </w:r>
      <w:r>
        <w:rPr>
          <w:rFonts w:cs="Arial"/>
          <w:sz w:val="18"/>
          <w:szCs w:val="18"/>
        </w:rPr>
        <w:t>-</w:t>
      </w:r>
      <w:r w:rsidRPr="00B1556F">
        <w:rPr>
          <w:rFonts w:cs="Arial"/>
          <w:sz w:val="18"/>
          <w:szCs w:val="18"/>
        </w:rPr>
        <w:t xml:space="preserve"> AFSOS</w:t>
      </w:r>
      <w:r>
        <w:rPr>
          <w:rFonts w:cs="Arial"/>
          <w:sz w:val="18"/>
          <w:szCs w:val="18"/>
        </w:rPr>
        <w:t>/</w:t>
      </w:r>
      <w:r w:rsidRPr="00B1556F">
        <w:rPr>
          <w:rFonts w:cs="Arial"/>
          <w:sz w:val="18"/>
          <w:szCs w:val="18"/>
        </w:rPr>
        <w:t>SFAP</w:t>
      </w:r>
      <w:r>
        <w:rPr>
          <w:rFonts w:cs="Arial"/>
          <w:sz w:val="18"/>
          <w:szCs w:val="18"/>
        </w:rPr>
        <w:t>/</w:t>
      </w:r>
      <w:r w:rsidRPr="00B1556F">
        <w:rPr>
          <w:rFonts w:cs="Arial"/>
          <w:sz w:val="18"/>
          <w:szCs w:val="18"/>
        </w:rPr>
        <w:t>SFETD.</w:t>
      </w:r>
    </w:p>
  </w:footnote>
  <w:footnote w:id="5">
    <w:p w14:paraId="6B7B2FDE" w14:textId="77777777" w:rsidR="00D269C6" w:rsidRPr="00EA50C2" w:rsidRDefault="00D269C6" w:rsidP="00D26311">
      <w:pPr>
        <w:rPr>
          <w:b/>
          <w:color w:val="FF0000"/>
          <w:sz w:val="18"/>
          <w:szCs w:val="18"/>
        </w:rPr>
      </w:pPr>
      <w:r w:rsidRPr="00EA50C2">
        <w:rPr>
          <w:rStyle w:val="Appelnotedebasdep"/>
          <w:sz w:val="18"/>
          <w:szCs w:val="18"/>
        </w:rPr>
        <w:footnoteRef/>
      </w:r>
      <w:r w:rsidRPr="00EA50C2">
        <w:rPr>
          <w:sz w:val="18"/>
          <w:szCs w:val="18"/>
        </w:rPr>
        <w:t xml:space="preserve"> Institut National Du Cancer. La douleur en cancérologie [en ligne]. e-cancer.fr. [consulté le 20/08/2019]. Disponible sur </w:t>
      </w:r>
      <w:hyperlink r:id="rId1" w:history="1">
        <w:r w:rsidRPr="00EA50C2">
          <w:rPr>
            <w:rStyle w:val="Lienhypertexte"/>
            <w:rFonts w:eastAsiaTheme="majorEastAsia"/>
            <w:sz w:val="18"/>
            <w:szCs w:val="18"/>
          </w:rPr>
          <w:t>https://www.e-cancer.fr/Expertises-et-publications/Catalogue-des-publications/La-douleur-en-cancerologie</w:t>
        </w:r>
      </w:hyperlink>
    </w:p>
  </w:footnote>
  <w:footnote w:id="6">
    <w:p w14:paraId="2CC3AB4F" w14:textId="77777777" w:rsidR="00D269C6" w:rsidRPr="00EA50C2" w:rsidRDefault="00D269C6" w:rsidP="00D26311">
      <w:pPr>
        <w:rPr>
          <w:b/>
          <w:color w:val="FF0000"/>
          <w:sz w:val="18"/>
          <w:szCs w:val="18"/>
          <w:lang w:val="en-GB"/>
        </w:rPr>
      </w:pPr>
      <w:r w:rsidRPr="00EA50C2">
        <w:rPr>
          <w:rStyle w:val="Appelnotedebasdep"/>
          <w:sz w:val="18"/>
          <w:szCs w:val="18"/>
        </w:rPr>
        <w:footnoteRef/>
      </w:r>
      <w:r w:rsidRPr="00EA50C2">
        <w:rPr>
          <w:sz w:val="18"/>
          <w:szCs w:val="18"/>
        </w:rPr>
        <w:t xml:space="preserve"> </w:t>
      </w:r>
      <w:r w:rsidRPr="00EA50C2">
        <w:rPr>
          <w:bCs/>
          <w:sz w:val="18"/>
          <w:szCs w:val="18"/>
        </w:rPr>
        <w:t xml:space="preserve">Rostaing-Rigattieri S. et al. Prise en charge des douleurs cancéreuses rebelles : stratégies pratiques. </w:t>
      </w:r>
      <w:r w:rsidRPr="00EA50C2">
        <w:rPr>
          <w:bCs/>
          <w:sz w:val="18"/>
          <w:szCs w:val="18"/>
          <w:lang w:val="en-GB"/>
        </w:rPr>
        <w:t>Médecine palliative, 2014;13(6):312-22.</w:t>
      </w:r>
    </w:p>
  </w:footnote>
  <w:footnote w:id="7">
    <w:p w14:paraId="697E2A2A" w14:textId="77777777" w:rsidR="00D269C6" w:rsidRPr="00EA50C2" w:rsidRDefault="00D269C6" w:rsidP="00BA42E2">
      <w:pPr>
        <w:shd w:val="clear" w:color="auto" w:fill="FFFFFF"/>
        <w:rPr>
          <w:sz w:val="18"/>
          <w:szCs w:val="18"/>
        </w:rPr>
      </w:pPr>
      <w:r w:rsidRPr="00EA50C2">
        <w:rPr>
          <w:rStyle w:val="Appelnotedebasdep"/>
          <w:sz w:val="18"/>
          <w:szCs w:val="18"/>
        </w:rPr>
        <w:footnoteRef/>
      </w:r>
      <w:r w:rsidRPr="00EA50C2">
        <w:rPr>
          <w:sz w:val="18"/>
          <w:szCs w:val="18"/>
          <w:lang w:val="en-US"/>
        </w:rPr>
        <w:t xml:space="preserve"> </w:t>
      </w:r>
      <w:hyperlink r:id="rId2" w:history="1">
        <w:r w:rsidRPr="00EA50C2">
          <w:rPr>
            <w:rStyle w:val="Lienhypertexte"/>
            <w:rFonts w:cs="Arial"/>
            <w:color w:val="auto"/>
            <w:sz w:val="18"/>
            <w:szCs w:val="18"/>
            <w:u w:val="none"/>
            <w:lang w:val="en-GB"/>
          </w:rPr>
          <w:t>Mercadante S</w:t>
        </w:r>
      </w:hyperlink>
      <w:r w:rsidRPr="00EA50C2">
        <w:rPr>
          <w:rFonts w:cs="Arial"/>
          <w:sz w:val="18"/>
          <w:szCs w:val="18"/>
          <w:lang w:val="en-GB"/>
        </w:rPr>
        <w:t>, </w:t>
      </w:r>
      <w:hyperlink r:id="rId3" w:history="1">
        <w:r w:rsidRPr="00EA50C2">
          <w:rPr>
            <w:rStyle w:val="Lienhypertexte"/>
            <w:rFonts w:cs="Arial"/>
            <w:color w:val="auto"/>
            <w:sz w:val="18"/>
            <w:szCs w:val="18"/>
            <w:u w:val="none"/>
            <w:lang w:val="en-GB"/>
          </w:rPr>
          <w:t>Bruera E</w:t>
        </w:r>
      </w:hyperlink>
      <w:r w:rsidRPr="00EA50C2">
        <w:rPr>
          <w:rFonts w:cs="Arial"/>
          <w:sz w:val="18"/>
          <w:szCs w:val="18"/>
          <w:lang w:val="en-GB"/>
        </w:rPr>
        <w:t xml:space="preserve">. Opioid switching in cancer pain: From the beginning to nowadays. </w:t>
      </w:r>
      <w:hyperlink r:id="rId4" w:tooltip="Critical reviews in oncology/hematology." w:history="1">
        <w:r w:rsidRPr="00EA50C2">
          <w:rPr>
            <w:rStyle w:val="Lienhypertexte"/>
            <w:rFonts w:cs="Arial"/>
            <w:color w:val="auto"/>
            <w:sz w:val="18"/>
            <w:szCs w:val="18"/>
            <w:u w:val="none"/>
          </w:rPr>
          <w:t>Crit Rev Oncol Hematol.</w:t>
        </w:r>
      </w:hyperlink>
      <w:r w:rsidRPr="00EA50C2">
        <w:rPr>
          <w:rFonts w:cs="Arial"/>
          <w:sz w:val="18"/>
          <w:szCs w:val="18"/>
        </w:rPr>
        <w:t xml:space="preserve"> 2016;99:241-8.</w:t>
      </w:r>
    </w:p>
  </w:footnote>
  <w:footnote w:id="8">
    <w:p w14:paraId="740981BA" w14:textId="529552F1" w:rsidR="00D269C6" w:rsidRPr="00EA50C2" w:rsidRDefault="00D269C6" w:rsidP="008D1C62">
      <w:pPr>
        <w:autoSpaceDE w:val="0"/>
        <w:autoSpaceDN w:val="0"/>
        <w:adjustRightInd w:val="0"/>
        <w:rPr>
          <w:color w:val="000000" w:themeColor="text1"/>
          <w:sz w:val="18"/>
          <w:szCs w:val="18"/>
        </w:rPr>
      </w:pPr>
      <w:r w:rsidRPr="00EA50C2">
        <w:rPr>
          <w:rStyle w:val="Appelnotedebasdep"/>
          <w:sz w:val="18"/>
          <w:szCs w:val="18"/>
        </w:rPr>
        <w:footnoteRef/>
      </w:r>
      <w:r w:rsidRPr="00EA50C2">
        <w:rPr>
          <w:sz w:val="18"/>
          <w:szCs w:val="18"/>
        </w:rPr>
        <w:t xml:space="preserve"> </w:t>
      </w:r>
      <w:r w:rsidRPr="00EA50C2">
        <w:rPr>
          <w:rFonts w:cs="Arial"/>
          <w:sz w:val="18"/>
          <w:szCs w:val="18"/>
        </w:rPr>
        <w:t>Techniques analgésiques locorégionales et douleur chronique. Recommandations formalisées d’experts SFARSFETD. Beloeil H, Viel E, Navez ML, Fletcher D, Peronnet D. Annales Françaises d’Anesthésie et de Réanimation. 2013;32:275-84.</w:t>
      </w:r>
      <w:r w:rsidRPr="00EA50C2">
        <w:rPr>
          <w:rFonts w:cs="Arial"/>
          <w:color w:val="00B050"/>
          <w:sz w:val="18"/>
          <w:szCs w:val="18"/>
        </w:rPr>
        <w:t xml:space="preserve"> </w:t>
      </w:r>
    </w:p>
  </w:footnote>
  <w:footnote w:id="9">
    <w:p w14:paraId="4C724B78" w14:textId="77777777" w:rsidR="00D269C6" w:rsidRPr="00EA50C2" w:rsidRDefault="00D269C6" w:rsidP="00C712C7">
      <w:pPr>
        <w:pStyle w:val="Notedebasdepage"/>
        <w:rPr>
          <w:sz w:val="18"/>
          <w:szCs w:val="18"/>
        </w:rPr>
      </w:pPr>
      <w:r w:rsidRPr="00EA50C2">
        <w:rPr>
          <w:rStyle w:val="Appelnotedebasdep"/>
          <w:sz w:val="18"/>
          <w:szCs w:val="18"/>
        </w:rPr>
        <w:footnoteRef/>
      </w:r>
      <w:r w:rsidRPr="00EA50C2">
        <w:rPr>
          <w:sz w:val="18"/>
          <w:szCs w:val="18"/>
        </w:rPr>
        <w:t xml:space="preserve"> indiqué pour le traitement des douleurs intenses, chroniques chez les adultes nécessitant une analgésie intrarachidienne. Il a obtenu un SMR faible et une ASMR V dans le périmètre restreint « traitement des douleurs chroniques réfractaires aux autres traitements antalgiques y compris la morphine par voie intrathécale » - Avis de la Commission du 7 mars 2018.</w:t>
      </w:r>
    </w:p>
  </w:footnote>
  <w:footnote w:id="10">
    <w:p w14:paraId="5E154C3B" w14:textId="5D73999A" w:rsidR="00D269C6" w:rsidRPr="00EA50C2" w:rsidRDefault="00D269C6">
      <w:pPr>
        <w:pStyle w:val="Notedebasdepage"/>
        <w:rPr>
          <w:sz w:val="18"/>
          <w:szCs w:val="18"/>
          <w:lang w:val="en-US"/>
        </w:rPr>
      </w:pPr>
      <w:r w:rsidRPr="00EA50C2">
        <w:rPr>
          <w:rStyle w:val="Appelnotedebasdep"/>
          <w:sz w:val="18"/>
          <w:szCs w:val="18"/>
        </w:rPr>
        <w:footnoteRef/>
      </w:r>
      <w:r w:rsidRPr="00EA50C2">
        <w:rPr>
          <w:sz w:val="18"/>
          <w:szCs w:val="18"/>
          <w:lang w:val="en-GB"/>
        </w:rPr>
        <w:t xml:space="preserve"> Poulain P. et al. </w:t>
      </w:r>
      <w:r w:rsidRPr="00EA50C2">
        <w:rPr>
          <w:sz w:val="18"/>
          <w:szCs w:val="18"/>
          <w:lang w:val="en-US"/>
        </w:rPr>
        <w:t>Efficacy and Safety of Two Methadone Titration Methods for the Treatment of Cancer-Related Pain: The EQUIMETH2 Trial (Methadone for Cancer-Related Pain). J Pain Symptom Manage. 2016;52:626-36.</w:t>
      </w:r>
    </w:p>
  </w:footnote>
  <w:footnote w:id="11">
    <w:tbl>
      <w:tblPr>
        <w:tblW w:w="0" w:type="auto"/>
        <w:tblBorders>
          <w:top w:val="nil"/>
          <w:left w:val="nil"/>
          <w:bottom w:val="nil"/>
          <w:right w:val="nil"/>
        </w:tblBorders>
        <w:tblLayout w:type="fixed"/>
        <w:tblLook w:val="0000" w:firstRow="0" w:lastRow="0" w:firstColumn="0" w:lastColumn="0" w:noHBand="0" w:noVBand="0"/>
      </w:tblPr>
      <w:tblGrid>
        <w:gridCol w:w="9839"/>
      </w:tblGrid>
      <w:tr w:rsidR="00D269C6" w:rsidRPr="00C73484" w14:paraId="76134819" w14:textId="77777777" w:rsidTr="00C73484">
        <w:trPr>
          <w:trHeight w:val="181"/>
        </w:trPr>
        <w:tc>
          <w:tcPr>
            <w:tcW w:w="9839" w:type="dxa"/>
          </w:tcPr>
          <w:p w14:paraId="721A4D45" w14:textId="77777777" w:rsidR="00D269C6" w:rsidRPr="00C73484" w:rsidRDefault="00D269C6" w:rsidP="00A63D9C">
            <w:pPr>
              <w:pStyle w:val="Notedebasdepage"/>
              <w:rPr>
                <w:sz w:val="18"/>
                <w:szCs w:val="18"/>
              </w:rPr>
            </w:pPr>
            <w:r w:rsidRPr="00C73484">
              <w:rPr>
                <w:rStyle w:val="Appelnotedebasdep"/>
                <w:sz w:val="18"/>
                <w:szCs w:val="18"/>
              </w:rPr>
              <w:footnoteRef/>
            </w:r>
            <w:r w:rsidRPr="00C73484">
              <w:rPr>
                <w:sz w:val="18"/>
                <w:szCs w:val="18"/>
              </w:rPr>
              <w:t xml:space="preserve"> Cette échelle de sédation varie de 1 (éveillé, orienté) à 5 (yeux fermés, ne répondant pas à une stimulation tactile légère</w:t>
            </w:r>
            <w:r>
              <w:rPr>
                <w:sz w:val="18"/>
                <w:szCs w:val="18"/>
              </w:rPr>
              <w:t>.</w:t>
            </w:r>
          </w:p>
        </w:tc>
      </w:tr>
    </w:tbl>
    <w:p w14:paraId="5CC1E6FC" w14:textId="77777777" w:rsidR="00D269C6" w:rsidRPr="00B46C70" w:rsidRDefault="00D269C6">
      <w:pPr>
        <w:pStyle w:val="Notedebasdepage"/>
        <w:rPr>
          <w:sz w:val="4"/>
          <w:szCs w:val="4"/>
        </w:rPr>
      </w:pPr>
    </w:p>
  </w:footnote>
  <w:footnote w:id="12">
    <w:p w14:paraId="15C72DC9" w14:textId="34E4D4EB" w:rsidR="00D269C6" w:rsidRPr="00C73484" w:rsidRDefault="00D269C6" w:rsidP="005B1FB6">
      <w:pPr>
        <w:pStyle w:val="Notedebasdepage"/>
        <w:rPr>
          <w:sz w:val="18"/>
          <w:szCs w:val="18"/>
        </w:rPr>
      </w:pPr>
      <w:r w:rsidRPr="00C73484">
        <w:rPr>
          <w:rStyle w:val="Appelnotedebasdep"/>
          <w:sz w:val="18"/>
          <w:szCs w:val="18"/>
        </w:rPr>
        <w:footnoteRef/>
      </w:r>
      <w:r w:rsidRPr="00C73484">
        <w:rPr>
          <w:sz w:val="18"/>
          <w:szCs w:val="18"/>
        </w:rPr>
        <w:t xml:space="preserve"> Cet indice sert habituellement pour la description de l'état du malade et varie de 0 (</w:t>
      </w:r>
      <w:r>
        <w:rPr>
          <w:sz w:val="18"/>
          <w:szCs w:val="18"/>
        </w:rPr>
        <w:t>p</w:t>
      </w:r>
      <w:r w:rsidRPr="00C73484">
        <w:rPr>
          <w:sz w:val="18"/>
          <w:szCs w:val="18"/>
        </w:rPr>
        <w:t xml:space="preserve">leinement actif) à 4 (complètement handicapé).  </w:t>
      </w:r>
    </w:p>
  </w:footnote>
  <w:footnote w:id="13">
    <w:p w14:paraId="15344280" w14:textId="05F532BF" w:rsidR="00D269C6" w:rsidRPr="00EA50C2" w:rsidRDefault="00D269C6" w:rsidP="009654F2">
      <w:pPr>
        <w:autoSpaceDE w:val="0"/>
        <w:autoSpaceDN w:val="0"/>
        <w:adjustRightInd w:val="0"/>
        <w:jc w:val="left"/>
        <w:rPr>
          <w:rFonts w:ascii="SourceSansPro-It" w:hAnsi="SourceSansPro-It" w:cs="SourceSansPro-It"/>
          <w:sz w:val="18"/>
          <w:szCs w:val="18"/>
          <w:lang w:val="en-GB"/>
        </w:rPr>
      </w:pPr>
      <w:r w:rsidRPr="00EA50C2">
        <w:rPr>
          <w:rStyle w:val="Appelnotedebasdep"/>
          <w:sz w:val="18"/>
          <w:szCs w:val="18"/>
        </w:rPr>
        <w:footnoteRef/>
      </w:r>
      <w:r w:rsidRPr="00EA50C2">
        <w:rPr>
          <w:sz w:val="18"/>
          <w:szCs w:val="18"/>
          <w:lang w:val="en-US"/>
        </w:rPr>
        <w:t xml:space="preserve"> </w:t>
      </w:r>
      <w:r w:rsidRPr="00EA50C2">
        <w:rPr>
          <w:rFonts w:cs="Arial"/>
          <w:sz w:val="18"/>
          <w:szCs w:val="18"/>
          <w:lang w:val="en-US"/>
        </w:rPr>
        <w:t>Nicholson AB et al. Methadone for cancer pain (Review). Cochrane Database of Systematic Reviews. 2017, Issue 2</w:t>
      </w:r>
      <w:r w:rsidRPr="00EA50C2">
        <w:rPr>
          <w:rFonts w:cs="Arial"/>
          <w:sz w:val="18"/>
          <w:szCs w:val="18"/>
          <w:lang w:val="en-GB"/>
        </w:rPr>
        <w:t>.</w:t>
      </w:r>
    </w:p>
  </w:footnote>
  <w:footnote w:id="14">
    <w:p w14:paraId="07C1E50B" w14:textId="542B29A4" w:rsidR="00D269C6" w:rsidRPr="00EA50C2" w:rsidRDefault="00D269C6" w:rsidP="00DF3B2C">
      <w:pPr>
        <w:autoSpaceDE w:val="0"/>
        <w:autoSpaceDN w:val="0"/>
        <w:adjustRightInd w:val="0"/>
        <w:rPr>
          <w:rFonts w:cs="Arial"/>
          <w:sz w:val="18"/>
          <w:szCs w:val="18"/>
          <w:lang w:val="en-GB"/>
        </w:rPr>
      </w:pPr>
      <w:r w:rsidRPr="00EA50C2">
        <w:rPr>
          <w:rStyle w:val="Appelnotedebasdep"/>
          <w:sz w:val="18"/>
          <w:szCs w:val="18"/>
        </w:rPr>
        <w:footnoteRef/>
      </w:r>
      <w:r w:rsidRPr="00EA50C2">
        <w:rPr>
          <w:sz w:val="18"/>
          <w:szCs w:val="18"/>
          <w:lang w:val="en-US"/>
        </w:rPr>
        <w:t xml:space="preserve"> </w:t>
      </w:r>
      <w:r w:rsidRPr="00EA50C2">
        <w:rPr>
          <w:rFonts w:cs="Arial"/>
          <w:sz w:val="18"/>
          <w:szCs w:val="18"/>
          <w:lang w:val="en-GB"/>
        </w:rPr>
        <w:t>Tigran Makunts, Andrew U, Rabia S. Atayee &amp; Ruben Abagyan. Retrospective analysis reveals significant association of hypoglycemia with tramadol and methadone in contrast to other opioids. Scientific Reports. 2019;9:12490.</w:t>
      </w:r>
    </w:p>
  </w:footnote>
  <w:footnote w:id="15">
    <w:p w14:paraId="37634842" w14:textId="67EB6CDF" w:rsidR="00D269C6" w:rsidRPr="008E5230" w:rsidRDefault="00D269C6" w:rsidP="001D4653">
      <w:pPr>
        <w:rPr>
          <w:sz w:val="18"/>
          <w:szCs w:val="18"/>
          <w:lang w:val="en-GB"/>
        </w:rPr>
      </w:pPr>
      <w:r w:rsidRPr="008E5230">
        <w:rPr>
          <w:rStyle w:val="Appelnotedebasdep"/>
          <w:sz w:val="18"/>
          <w:szCs w:val="18"/>
        </w:rPr>
        <w:footnoteRef/>
      </w:r>
      <w:r w:rsidRPr="008E5230">
        <w:rPr>
          <w:sz w:val="18"/>
          <w:szCs w:val="18"/>
          <w:lang w:val="en-GB"/>
        </w:rPr>
        <w:t xml:space="preserve"> Mercadante S, Bruera E</w:t>
      </w:r>
      <w:r>
        <w:rPr>
          <w:sz w:val="18"/>
          <w:szCs w:val="18"/>
          <w:lang w:val="en-GB"/>
        </w:rPr>
        <w:t>.</w:t>
      </w:r>
      <w:r w:rsidRPr="008E5230">
        <w:rPr>
          <w:sz w:val="18"/>
          <w:szCs w:val="18"/>
          <w:lang w:val="en-GB"/>
        </w:rPr>
        <w:t xml:space="preserve"> Methadone as a First-Line Opioid in Cancer Pain Management: A Systematic Review. </w:t>
      </w:r>
      <w:r w:rsidRPr="00D34E2F">
        <w:rPr>
          <w:sz w:val="18"/>
          <w:szCs w:val="18"/>
          <w:lang w:val="en-GB"/>
        </w:rPr>
        <w:t>J Pain Symptom Manage. 2018;55:998-1003.</w:t>
      </w:r>
    </w:p>
  </w:footnote>
  <w:footnote w:id="16">
    <w:p w14:paraId="4F4F8509" w14:textId="02222D2C" w:rsidR="00D269C6" w:rsidRPr="005C38EC" w:rsidRDefault="00D269C6" w:rsidP="001D4653">
      <w:pPr>
        <w:autoSpaceDE w:val="0"/>
        <w:autoSpaceDN w:val="0"/>
        <w:adjustRightInd w:val="0"/>
        <w:rPr>
          <w:sz w:val="18"/>
          <w:szCs w:val="18"/>
          <w:lang w:val="en-GB"/>
        </w:rPr>
      </w:pPr>
      <w:r w:rsidRPr="005B2615">
        <w:rPr>
          <w:rStyle w:val="Appelnotedebasdep"/>
          <w:sz w:val="18"/>
          <w:szCs w:val="18"/>
        </w:rPr>
        <w:footnoteRef/>
      </w:r>
      <w:r w:rsidRPr="001D4D92">
        <w:rPr>
          <w:sz w:val="18"/>
          <w:szCs w:val="18"/>
          <w:lang w:val="en-GB"/>
        </w:rPr>
        <w:t xml:space="preserve"> Mercadante S, Caraceni A</w:t>
      </w:r>
      <w:r>
        <w:rPr>
          <w:sz w:val="18"/>
          <w:szCs w:val="18"/>
          <w:lang w:val="en-GB"/>
        </w:rPr>
        <w:t>.</w:t>
      </w:r>
      <w:r w:rsidRPr="001D4D92">
        <w:rPr>
          <w:sz w:val="18"/>
          <w:szCs w:val="18"/>
          <w:lang w:val="en-GB"/>
        </w:rPr>
        <w:t xml:space="preserve"> Conversion ratios for opioid switching in the treatment of cancer pain: a systematic review</w:t>
      </w:r>
      <w:r>
        <w:rPr>
          <w:sz w:val="18"/>
          <w:szCs w:val="18"/>
          <w:lang w:val="en-GB"/>
        </w:rPr>
        <w:t xml:space="preserve">. </w:t>
      </w:r>
      <w:r w:rsidRPr="001D4D92">
        <w:rPr>
          <w:sz w:val="18"/>
          <w:szCs w:val="18"/>
          <w:lang w:val="en-GB"/>
        </w:rPr>
        <w:t xml:space="preserve">Palliative </w:t>
      </w:r>
      <w:r>
        <w:rPr>
          <w:sz w:val="18"/>
          <w:szCs w:val="18"/>
          <w:lang w:val="en-GB"/>
        </w:rPr>
        <w:t>Medicine. 2011;25(5):504-</w:t>
      </w:r>
      <w:r w:rsidRPr="005C38EC">
        <w:rPr>
          <w:sz w:val="18"/>
          <w:szCs w:val="18"/>
          <w:lang w:val="en-GB"/>
        </w:rPr>
        <w:t>515.</w:t>
      </w:r>
    </w:p>
  </w:footnote>
  <w:footnote w:id="17">
    <w:p w14:paraId="38AF7EA4" w14:textId="69C59F0D" w:rsidR="00D269C6" w:rsidRPr="005C38EC" w:rsidRDefault="00D269C6" w:rsidP="001D4653">
      <w:pPr>
        <w:autoSpaceDE w:val="0"/>
        <w:autoSpaceDN w:val="0"/>
        <w:adjustRightInd w:val="0"/>
        <w:rPr>
          <w:color w:val="000000" w:themeColor="text1"/>
          <w:sz w:val="18"/>
          <w:szCs w:val="18"/>
          <w:lang w:val="en-GB"/>
        </w:rPr>
      </w:pPr>
      <w:r w:rsidRPr="005C38EC">
        <w:rPr>
          <w:rStyle w:val="Appelnotedebasdep"/>
          <w:sz w:val="18"/>
          <w:szCs w:val="18"/>
        </w:rPr>
        <w:footnoteRef/>
      </w:r>
      <w:r w:rsidRPr="005C38EC">
        <w:rPr>
          <w:sz w:val="18"/>
          <w:szCs w:val="18"/>
          <w:lang w:val="en-GB"/>
        </w:rPr>
        <w:t xml:space="preserve"> </w:t>
      </w:r>
      <w:r w:rsidRPr="005C38EC">
        <w:rPr>
          <w:rFonts w:cs="Arial"/>
          <w:sz w:val="18"/>
          <w:szCs w:val="18"/>
          <w:lang w:val="en-GB"/>
        </w:rPr>
        <w:t>Treillet E, Laurent S, Hadjiat Y. Practical management of opioid rotation and equianalgesia Journal of Pain Research</w:t>
      </w:r>
      <w:r>
        <w:rPr>
          <w:rFonts w:cs="Arial"/>
          <w:sz w:val="18"/>
          <w:szCs w:val="18"/>
          <w:lang w:val="en-GB"/>
        </w:rPr>
        <w:t>. 2018;11:</w:t>
      </w:r>
      <w:r w:rsidRPr="005C38EC">
        <w:rPr>
          <w:rFonts w:cs="Arial"/>
          <w:sz w:val="18"/>
          <w:szCs w:val="18"/>
          <w:lang w:val="en-GB"/>
        </w:rPr>
        <w:t>2587-601.</w:t>
      </w:r>
    </w:p>
  </w:footnote>
  <w:footnote w:id="18">
    <w:p w14:paraId="6F83B79A" w14:textId="0246E6FD" w:rsidR="00D269C6" w:rsidRPr="00EA50C2" w:rsidRDefault="00D269C6" w:rsidP="00B463C7">
      <w:pPr>
        <w:pStyle w:val="Notedebasdepage"/>
        <w:rPr>
          <w:sz w:val="18"/>
          <w:szCs w:val="18"/>
          <w:lang w:val="en-GB"/>
        </w:rPr>
      </w:pPr>
      <w:r w:rsidRPr="00EA50C2">
        <w:rPr>
          <w:rStyle w:val="Appelnotedebasdep"/>
          <w:color w:val="000000" w:themeColor="text1"/>
          <w:sz w:val="18"/>
          <w:szCs w:val="18"/>
        </w:rPr>
        <w:footnoteRef/>
      </w:r>
      <w:r w:rsidRPr="00EA50C2">
        <w:rPr>
          <w:color w:val="000000" w:themeColor="text1"/>
          <w:sz w:val="18"/>
          <w:szCs w:val="18"/>
          <w:lang w:val="en-GB"/>
        </w:rPr>
        <w:t xml:space="preserve"> </w:t>
      </w:r>
      <w:r w:rsidRPr="00EA50C2">
        <w:rPr>
          <w:sz w:val="18"/>
          <w:szCs w:val="18"/>
          <w:lang w:val="en-GB"/>
        </w:rPr>
        <w:t xml:space="preserve">Caraceni A. and al. Use of opioid analgesics in the treatment of cancer pain: evidence-based recommendations from the EAPC. </w:t>
      </w:r>
      <w:hyperlink r:id="rId5" w:tooltip="The Lancet. Oncology." w:history="1">
        <w:r w:rsidRPr="00EA50C2">
          <w:rPr>
            <w:rStyle w:val="Lienhypertexte"/>
            <w:rFonts w:cs="Arial"/>
            <w:color w:val="auto"/>
            <w:sz w:val="18"/>
            <w:szCs w:val="18"/>
            <w:u w:val="none"/>
            <w:shd w:val="clear" w:color="auto" w:fill="FFFFFF"/>
            <w:lang w:val="en-GB"/>
          </w:rPr>
          <w:t>Lancet Oncol.</w:t>
        </w:r>
      </w:hyperlink>
      <w:r w:rsidRPr="00EA50C2">
        <w:rPr>
          <w:rStyle w:val="Lienhypertexte"/>
          <w:rFonts w:cs="Arial"/>
          <w:color w:val="auto"/>
          <w:sz w:val="18"/>
          <w:szCs w:val="18"/>
          <w:u w:val="none"/>
          <w:shd w:val="clear" w:color="auto" w:fill="FFFFFF"/>
          <w:lang w:val="en-GB"/>
        </w:rPr>
        <w:t xml:space="preserve"> </w:t>
      </w:r>
      <w:r w:rsidRPr="00EA50C2">
        <w:rPr>
          <w:rFonts w:cs="Arial"/>
          <w:sz w:val="18"/>
          <w:szCs w:val="18"/>
          <w:shd w:val="clear" w:color="auto" w:fill="FFFFFF"/>
          <w:lang w:val="en-GB"/>
        </w:rPr>
        <w:t>2012;13(2):58-68.</w:t>
      </w:r>
    </w:p>
  </w:footnote>
  <w:footnote w:id="19">
    <w:p w14:paraId="30F5844E" w14:textId="77777777" w:rsidR="00D269C6" w:rsidRPr="00EA50C2" w:rsidRDefault="00D269C6" w:rsidP="001611AA">
      <w:pPr>
        <w:autoSpaceDE w:val="0"/>
        <w:autoSpaceDN w:val="0"/>
        <w:adjustRightInd w:val="0"/>
        <w:rPr>
          <w:rFonts w:cs="Arial"/>
          <w:iCs/>
          <w:sz w:val="18"/>
          <w:szCs w:val="18"/>
          <w:lang w:val="en-GB"/>
        </w:rPr>
      </w:pPr>
      <w:r w:rsidRPr="00EA50C2">
        <w:rPr>
          <w:rStyle w:val="Appelnotedebasdep"/>
          <w:sz w:val="18"/>
          <w:szCs w:val="18"/>
        </w:rPr>
        <w:footnoteRef/>
      </w:r>
      <w:r w:rsidRPr="00EA50C2">
        <w:rPr>
          <w:sz w:val="18"/>
          <w:szCs w:val="18"/>
          <w:lang w:val="en-GB"/>
        </w:rPr>
        <w:t xml:space="preserve"> </w:t>
      </w:r>
      <w:r w:rsidRPr="00EA50C2">
        <w:rPr>
          <w:rFonts w:cs="Arial"/>
          <w:iCs/>
          <w:sz w:val="18"/>
          <w:szCs w:val="18"/>
          <w:lang w:val="en-GB"/>
        </w:rPr>
        <w:t>Dowell D, Haegerich TM, Chou R. CDC Guideline for Prescribing Opioids for Chronic Pain - United States, 2016. JAMA. 2016 Apr - CDC Centers for Disease Control and Prevention.</w:t>
      </w:r>
    </w:p>
  </w:footnote>
  <w:footnote w:id="20">
    <w:p w14:paraId="65C4067F" w14:textId="22F289EE" w:rsidR="00D269C6" w:rsidRPr="00EA50C2" w:rsidRDefault="00D269C6" w:rsidP="00CD7D8B">
      <w:pPr>
        <w:rPr>
          <w:sz w:val="18"/>
          <w:szCs w:val="18"/>
          <w:lang w:val="en-GB"/>
        </w:rPr>
      </w:pPr>
      <w:r w:rsidRPr="00EA50C2">
        <w:rPr>
          <w:rStyle w:val="Appelnotedebasdep"/>
          <w:sz w:val="18"/>
          <w:szCs w:val="18"/>
        </w:rPr>
        <w:footnoteRef/>
      </w:r>
      <w:r w:rsidRPr="00EA50C2">
        <w:rPr>
          <w:sz w:val="18"/>
          <w:szCs w:val="18"/>
          <w:lang w:val="en-GB"/>
        </w:rPr>
        <w:t xml:space="preserve"> (2018) WHO Guidelines for the Pharmacological and Radiotherapeutic Management of Cancer Pain in Adults and Adolescents. World Health Organization, Geneva</w:t>
      </w:r>
    </w:p>
  </w:footnote>
  <w:footnote w:id="21">
    <w:p w14:paraId="5D726BE7" w14:textId="41ABBE69" w:rsidR="00D269C6" w:rsidRPr="00EA50C2" w:rsidRDefault="00D269C6" w:rsidP="001611AA">
      <w:pPr>
        <w:rPr>
          <w:sz w:val="18"/>
          <w:szCs w:val="18"/>
        </w:rPr>
      </w:pPr>
      <w:r w:rsidRPr="00EA50C2">
        <w:rPr>
          <w:rStyle w:val="Appelnotedebasdep"/>
          <w:sz w:val="18"/>
          <w:szCs w:val="18"/>
        </w:rPr>
        <w:footnoteRef/>
      </w:r>
      <w:r w:rsidRPr="00EA50C2">
        <w:rPr>
          <w:sz w:val="18"/>
          <w:szCs w:val="18"/>
          <w:lang w:val="en-GB"/>
        </w:rPr>
        <w:t xml:space="preserve"> McPherson ML. et al. Safe and Appropriate Use of Methadone in Hospice and Palliative Care: Expert Consensus White Paper. </w:t>
      </w:r>
      <w:r w:rsidRPr="00EA50C2">
        <w:rPr>
          <w:sz w:val="18"/>
          <w:szCs w:val="18"/>
        </w:rPr>
        <w:t>J Pain Symptom Manage. 2019;57:635-45.</w:t>
      </w:r>
    </w:p>
  </w:footnote>
  <w:footnote w:id="22">
    <w:p w14:paraId="10E7F11C" w14:textId="77777777" w:rsidR="00D269C6" w:rsidRPr="00C30EA0" w:rsidRDefault="00D269C6" w:rsidP="00C30EA0">
      <w:pPr>
        <w:autoSpaceDE w:val="0"/>
        <w:autoSpaceDN w:val="0"/>
        <w:adjustRightInd w:val="0"/>
        <w:rPr>
          <w:rFonts w:cs="Arial"/>
          <w:sz w:val="18"/>
          <w:szCs w:val="18"/>
        </w:rPr>
      </w:pPr>
      <w:r w:rsidRPr="00C30EA0">
        <w:rPr>
          <w:rStyle w:val="Appelnotedebasdep"/>
          <w:rFonts w:cs="Arial"/>
          <w:sz w:val="18"/>
          <w:szCs w:val="18"/>
        </w:rPr>
        <w:footnoteRef/>
      </w:r>
      <w:r w:rsidRPr="00C30EA0">
        <w:rPr>
          <w:rFonts w:cs="Arial"/>
          <w:sz w:val="18"/>
          <w:szCs w:val="18"/>
        </w:rPr>
        <w:t xml:space="preserve"> Institut national du cancer (INCa). </w:t>
      </w:r>
      <w:r w:rsidRPr="00C30EA0">
        <w:rPr>
          <w:sz w:val="18"/>
          <w:szCs w:val="18"/>
        </w:rPr>
        <w:t>L’essentiel des faits et chiffres des cancers en France (édition 2019).</w:t>
      </w:r>
    </w:p>
  </w:footnote>
  <w:footnote w:id="23">
    <w:p w14:paraId="56C9E5C7" w14:textId="2A3A5F11" w:rsidR="00D269C6" w:rsidRPr="00C30EA0" w:rsidRDefault="00D269C6" w:rsidP="00C30EA0">
      <w:pPr>
        <w:autoSpaceDE w:val="0"/>
        <w:autoSpaceDN w:val="0"/>
        <w:adjustRightInd w:val="0"/>
        <w:rPr>
          <w:rFonts w:cs="Arial"/>
          <w:sz w:val="18"/>
          <w:szCs w:val="18"/>
          <w:lang w:val="en-GB"/>
        </w:rPr>
      </w:pPr>
      <w:r w:rsidRPr="00C30EA0">
        <w:rPr>
          <w:rStyle w:val="Appelnotedebasdep"/>
          <w:rFonts w:cs="Arial"/>
          <w:sz w:val="18"/>
          <w:szCs w:val="18"/>
        </w:rPr>
        <w:footnoteRef/>
      </w:r>
      <w:r w:rsidRPr="00C30EA0">
        <w:rPr>
          <w:rFonts w:cs="Arial"/>
          <w:sz w:val="18"/>
          <w:szCs w:val="18"/>
        </w:rPr>
        <w:t xml:space="preserve"> Institut national du cancer (INCa). La vie cinq ans après un diagnostic de cancer. </w:t>
      </w:r>
      <w:r w:rsidRPr="00C30EA0">
        <w:rPr>
          <w:rFonts w:cs="Arial"/>
          <w:sz w:val="18"/>
          <w:szCs w:val="18"/>
          <w:lang w:val="en-GB"/>
        </w:rPr>
        <w:t>Juin 2018.</w:t>
      </w:r>
    </w:p>
  </w:footnote>
  <w:footnote w:id="24">
    <w:p w14:paraId="180328EC" w14:textId="28A6FC0D" w:rsidR="00D269C6" w:rsidRPr="00C30EA0" w:rsidRDefault="00D269C6" w:rsidP="00C30EA0">
      <w:pPr>
        <w:shd w:val="clear" w:color="auto" w:fill="FFFFFF"/>
        <w:rPr>
          <w:color w:val="000000" w:themeColor="text1"/>
          <w:sz w:val="18"/>
          <w:szCs w:val="18"/>
        </w:rPr>
      </w:pPr>
      <w:r w:rsidRPr="00C30EA0">
        <w:rPr>
          <w:rStyle w:val="Appelnotedebasdep"/>
          <w:sz w:val="18"/>
          <w:szCs w:val="18"/>
        </w:rPr>
        <w:footnoteRef/>
      </w:r>
      <w:r w:rsidRPr="00463FAE">
        <w:rPr>
          <w:sz w:val="18"/>
          <w:szCs w:val="18"/>
          <w:lang w:val="en-GB"/>
        </w:rPr>
        <w:t xml:space="preserve"> </w:t>
      </w:r>
      <w:hyperlink r:id="rId6" w:history="1">
        <w:r w:rsidRPr="00463FAE">
          <w:rPr>
            <w:rStyle w:val="Lienhypertexte"/>
            <w:rFonts w:cs="Arial"/>
            <w:color w:val="auto"/>
            <w:sz w:val="18"/>
            <w:szCs w:val="18"/>
            <w:u w:val="none"/>
            <w:lang w:val="en-GB"/>
          </w:rPr>
          <w:t>Bouhassira D</w:t>
        </w:r>
      </w:hyperlink>
      <w:r w:rsidRPr="00463FAE">
        <w:rPr>
          <w:rFonts w:cs="Arial"/>
          <w:sz w:val="18"/>
          <w:szCs w:val="18"/>
          <w:lang w:val="en-GB"/>
        </w:rPr>
        <w:t>, </w:t>
      </w:r>
      <w:hyperlink r:id="rId7" w:history="1">
        <w:r w:rsidRPr="00463FAE">
          <w:rPr>
            <w:rStyle w:val="Lienhypertexte"/>
            <w:rFonts w:cs="Arial"/>
            <w:color w:val="auto"/>
            <w:sz w:val="18"/>
            <w:szCs w:val="18"/>
            <w:u w:val="none"/>
            <w:lang w:val="en-GB"/>
          </w:rPr>
          <w:t>Luporsi E</w:t>
        </w:r>
      </w:hyperlink>
      <w:r w:rsidRPr="00463FAE">
        <w:rPr>
          <w:rFonts w:cs="Arial"/>
          <w:sz w:val="18"/>
          <w:szCs w:val="18"/>
          <w:lang w:val="en-GB"/>
        </w:rPr>
        <w:t>, </w:t>
      </w:r>
      <w:hyperlink r:id="rId8" w:history="1">
        <w:r w:rsidRPr="00463FAE">
          <w:rPr>
            <w:rStyle w:val="Lienhypertexte"/>
            <w:rFonts w:cs="Arial"/>
            <w:color w:val="auto"/>
            <w:sz w:val="18"/>
            <w:szCs w:val="18"/>
            <w:u w:val="none"/>
            <w:lang w:val="en-GB"/>
          </w:rPr>
          <w:t>Krakowski I</w:t>
        </w:r>
      </w:hyperlink>
      <w:r w:rsidRPr="00463FAE">
        <w:rPr>
          <w:rFonts w:cs="Arial"/>
          <w:sz w:val="18"/>
          <w:szCs w:val="18"/>
          <w:lang w:val="en-GB"/>
        </w:rPr>
        <w:t>.</w:t>
      </w:r>
      <w:r w:rsidRPr="00463FAE">
        <w:rPr>
          <w:rFonts w:cs="Arial"/>
          <w:sz w:val="18"/>
          <w:szCs w:val="18"/>
          <w:shd w:val="clear" w:color="auto" w:fill="FFFFFF"/>
          <w:lang w:val="en-GB"/>
        </w:rPr>
        <w:t xml:space="preserve"> </w:t>
      </w:r>
      <w:r w:rsidRPr="00C30EA0">
        <w:rPr>
          <w:rFonts w:cs="Arial"/>
          <w:sz w:val="18"/>
          <w:szCs w:val="18"/>
          <w:lang w:val="en-GB"/>
        </w:rPr>
        <w:t>Prevalence and incidence of chronic pain with or without neuropathic characteristics in patients with cancer.</w:t>
      </w:r>
      <w:r w:rsidRPr="00C30EA0">
        <w:rPr>
          <w:rFonts w:cs="Arial"/>
          <w:sz w:val="18"/>
          <w:szCs w:val="18"/>
          <w:shd w:val="clear" w:color="auto" w:fill="FFFFFF"/>
          <w:lang w:val="en-GB"/>
        </w:rPr>
        <w:t xml:space="preserve"> </w:t>
      </w:r>
      <w:hyperlink r:id="rId9" w:tooltip="Pain." w:history="1">
        <w:r w:rsidRPr="00C30EA0">
          <w:rPr>
            <w:rStyle w:val="Lienhypertexte"/>
            <w:rFonts w:eastAsiaTheme="majorEastAsia" w:cs="Arial"/>
            <w:color w:val="auto"/>
            <w:sz w:val="18"/>
            <w:szCs w:val="18"/>
            <w:u w:val="none"/>
            <w:shd w:val="clear" w:color="auto" w:fill="FFFFFF"/>
          </w:rPr>
          <w:t>Pain.</w:t>
        </w:r>
      </w:hyperlink>
      <w:r w:rsidRPr="00C30EA0">
        <w:rPr>
          <w:rFonts w:cs="Arial"/>
          <w:sz w:val="18"/>
          <w:szCs w:val="18"/>
          <w:shd w:val="clear" w:color="auto" w:fill="FFFFFF"/>
        </w:rPr>
        <w:t> 201</w:t>
      </w:r>
      <w:r w:rsidRPr="00C30EA0">
        <w:rPr>
          <w:rFonts w:cs="Arial"/>
          <w:color w:val="000000"/>
          <w:sz w:val="18"/>
          <w:szCs w:val="18"/>
          <w:shd w:val="clear" w:color="auto" w:fill="FFFFFF"/>
        </w:rPr>
        <w:t>7;158(6):1118-25.</w:t>
      </w:r>
    </w:p>
  </w:footnote>
  <w:footnote w:id="25">
    <w:p w14:paraId="4382CEBB" w14:textId="3DCF80CE" w:rsidR="00D269C6" w:rsidRPr="00C30EA0" w:rsidRDefault="00D269C6" w:rsidP="00C30EA0">
      <w:pPr>
        <w:pStyle w:val="StyleGras"/>
        <w:shd w:val="clear" w:color="auto" w:fill="auto"/>
        <w:rPr>
          <w:b w:val="0"/>
          <w:bCs w:val="0"/>
          <w:sz w:val="18"/>
          <w:szCs w:val="18"/>
        </w:rPr>
      </w:pPr>
      <w:r w:rsidRPr="00C30EA0">
        <w:rPr>
          <w:rStyle w:val="Appelnotedebasdep"/>
          <w:sz w:val="18"/>
          <w:szCs w:val="18"/>
        </w:rPr>
        <w:footnoteRef/>
      </w:r>
      <w:r w:rsidRPr="00C30EA0">
        <w:rPr>
          <w:b w:val="0"/>
          <w:bCs w:val="0"/>
          <w:sz w:val="18"/>
          <w:szCs w:val="18"/>
        </w:rPr>
        <w:t xml:space="preserve"> État des lieux de la consommation des antalgiques opioïdes et leurs usages problématiques. Rapport ANSM Février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EE0E" w14:textId="19E7BB72" w:rsidR="00D269C6" w:rsidRDefault="00D269C6"/>
  <w:p w14:paraId="11488480" w14:textId="77777777" w:rsidR="00D269C6" w:rsidRDefault="00D269C6"/>
  <w:p w14:paraId="260FEE41" w14:textId="77777777" w:rsidR="00D269C6" w:rsidRDefault="00D269C6" w:rsidP="009C68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24BE" w14:textId="6A0EBD82" w:rsidR="00D269C6" w:rsidRDefault="00D269C6">
    <w:pPr>
      <w:pStyle w:val="En-tte"/>
    </w:pPr>
  </w:p>
  <w:p w14:paraId="354B3B2E" w14:textId="77777777" w:rsidR="00D269C6" w:rsidRDefault="00D26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E4C"/>
    <w:multiLevelType w:val="hybridMultilevel"/>
    <w:tmpl w:val="F46C54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50AC1"/>
    <w:multiLevelType w:val="hybridMultilevel"/>
    <w:tmpl w:val="A3FC8AC4"/>
    <w:lvl w:ilvl="0" w:tplc="99721D6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ED35F2"/>
    <w:multiLevelType w:val="hybridMultilevel"/>
    <w:tmpl w:val="3ED04570"/>
    <w:lvl w:ilvl="0" w:tplc="99721D6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9D27DC3"/>
    <w:multiLevelType w:val="hybridMultilevel"/>
    <w:tmpl w:val="01A0CBE0"/>
    <w:lvl w:ilvl="0" w:tplc="99721D6C">
      <w:numFmt w:val="bullet"/>
      <w:lvlText w:val="-"/>
      <w:lvlJc w:val="left"/>
      <w:pPr>
        <w:ind w:left="2496" w:hanging="360"/>
      </w:pPr>
      <w:rPr>
        <w:rFonts w:ascii="Arial" w:eastAsia="Times New Roman" w:hAnsi="Arial" w:cs="Arial" w:hint="default"/>
      </w:rPr>
    </w:lvl>
    <w:lvl w:ilvl="1" w:tplc="040C0001">
      <w:start w:val="1"/>
      <w:numFmt w:val="bullet"/>
      <w:lvlText w:val=""/>
      <w:lvlJc w:val="left"/>
      <w:pPr>
        <w:ind w:left="3216" w:hanging="360"/>
      </w:pPr>
      <w:rPr>
        <w:rFonts w:ascii="Symbol" w:hAnsi="Symbol"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4" w15:restartNumberingAfterBreak="0">
    <w:nsid w:val="11D6679D"/>
    <w:multiLevelType w:val="hybridMultilevel"/>
    <w:tmpl w:val="0DCA452E"/>
    <w:lvl w:ilvl="0" w:tplc="99721D6C">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C232F1"/>
    <w:multiLevelType w:val="hybridMultilevel"/>
    <w:tmpl w:val="1A2A0BAC"/>
    <w:lvl w:ilvl="0" w:tplc="B92EB86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649B5"/>
    <w:multiLevelType w:val="hybridMultilevel"/>
    <w:tmpl w:val="94F86E20"/>
    <w:lvl w:ilvl="0" w:tplc="608AEE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65FF7"/>
    <w:multiLevelType w:val="hybridMultilevel"/>
    <w:tmpl w:val="24D67C74"/>
    <w:lvl w:ilvl="0" w:tplc="01F20CC0">
      <w:start w:val="1"/>
      <w:numFmt w:val="bullet"/>
      <w:pStyle w:val="Titrepuce"/>
      <w:lvlText w:val=""/>
      <w:lvlJc w:val="left"/>
      <w:pPr>
        <w:ind w:left="360" w:hanging="360"/>
      </w:pPr>
      <w:rPr>
        <w:rFonts w:ascii="Wingdings 2" w:hAnsi="Wingdings 2" w:hint="default"/>
        <w:color w:val="00489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2F1505"/>
    <w:multiLevelType w:val="hybridMultilevel"/>
    <w:tmpl w:val="246C9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4B3510"/>
    <w:multiLevelType w:val="hybridMultilevel"/>
    <w:tmpl w:val="2578B5BE"/>
    <w:lvl w:ilvl="0" w:tplc="B8901E06">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3FD5C55"/>
    <w:multiLevelType w:val="hybridMultilevel"/>
    <w:tmpl w:val="FF9A5DE4"/>
    <w:lvl w:ilvl="0" w:tplc="14ECF6D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C34E00"/>
    <w:multiLevelType w:val="hybridMultilevel"/>
    <w:tmpl w:val="1E68D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5D1E3F"/>
    <w:multiLevelType w:val="hybridMultilevel"/>
    <w:tmpl w:val="3F2E24D4"/>
    <w:lvl w:ilvl="0" w:tplc="99721D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A0BB4"/>
    <w:multiLevelType w:val="hybridMultilevel"/>
    <w:tmpl w:val="E510504C"/>
    <w:lvl w:ilvl="0" w:tplc="B2B0913C">
      <w:start w:val="4"/>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60441B"/>
    <w:multiLevelType w:val="hybridMultilevel"/>
    <w:tmpl w:val="F5F669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800" w:hanging="360"/>
      </w:pPr>
      <w:rPr>
        <w:rFonts w:ascii="Courier New" w:hAnsi="Courier New" w:cs="Aria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DC8522F"/>
    <w:multiLevelType w:val="multilevel"/>
    <w:tmpl w:val="09545EE8"/>
    <w:lvl w:ilvl="0">
      <w:start w:val="1"/>
      <w:numFmt w:val="decimal"/>
      <w:pStyle w:val="Titre1"/>
      <w:lvlText w:val="0%1"/>
      <w:lvlJc w:val="left"/>
      <w:pPr>
        <w:tabs>
          <w:tab w:val="num" w:pos="432"/>
        </w:tabs>
        <w:ind w:left="432" w:hanging="432"/>
      </w:pPr>
      <w:rPr>
        <w:rFonts w:ascii="Arial Gras" w:hAnsi="Arial Gras" w:hint="default"/>
        <w:b/>
        <w:i w:val="0"/>
        <w:color w:val="004890"/>
        <w:sz w:val="44"/>
      </w:rPr>
    </w:lvl>
    <w:lvl w:ilvl="1">
      <w:start w:val="1"/>
      <w:numFmt w:val="decimal"/>
      <w:pStyle w:val="Titre2"/>
      <w:lvlText w:val="0%1.%2"/>
      <w:lvlJc w:val="left"/>
      <w:pPr>
        <w:tabs>
          <w:tab w:val="num" w:pos="576"/>
        </w:tabs>
        <w:ind w:left="576" w:hanging="576"/>
      </w:pPr>
      <w:rPr>
        <w:rFonts w:ascii="Arial Gras" w:hAnsi="Arial Gras" w:hint="default"/>
        <w:b/>
        <w:i w:val="0"/>
        <w:color w:val="004890"/>
        <w:sz w:val="36"/>
      </w:rPr>
    </w:lvl>
    <w:lvl w:ilvl="2">
      <w:start w:val="1"/>
      <w:numFmt w:val="decimal"/>
      <w:pStyle w:val="Titre3"/>
      <w:lvlText w:val="%1.%2.%3"/>
      <w:lvlJc w:val="left"/>
      <w:pPr>
        <w:tabs>
          <w:tab w:val="num" w:pos="720"/>
        </w:tabs>
        <w:ind w:left="720" w:hanging="720"/>
      </w:pPr>
      <w:rPr>
        <w:rFonts w:ascii="Arial Gras" w:hAnsi="Arial Gras" w:hint="default"/>
        <w:b/>
        <w:i w:val="0"/>
        <w:color w:val="004890"/>
        <w:sz w:val="24"/>
      </w:rPr>
    </w:lvl>
    <w:lvl w:ilvl="3">
      <w:start w:val="1"/>
      <w:numFmt w:val="decimal"/>
      <w:pStyle w:val="Titre4"/>
      <w:lvlText w:val="%1.%2.%3.%4"/>
      <w:lvlJc w:val="left"/>
      <w:pPr>
        <w:tabs>
          <w:tab w:val="num" w:pos="864"/>
        </w:tabs>
        <w:ind w:left="864" w:hanging="864"/>
      </w:pPr>
      <w:rPr>
        <w:rFonts w:ascii="Arial Gras" w:hAnsi="Arial Gras" w:hint="default"/>
        <w:b/>
        <w:i/>
        <w:color w:val="4F81BD"/>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1853C5E"/>
    <w:multiLevelType w:val="hybridMultilevel"/>
    <w:tmpl w:val="46EAF53C"/>
    <w:lvl w:ilvl="0" w:tplc="040C0003">
      <w:start w:val="1"/>
      <w:numFmt w:val="bullet"/>
      <w:lvlText w:val="o"/>
      <w:lvlJc w:val="left"/>
      <w:pPr>
        <w:ind w:left="720" w:hanging="360"/>
      </w:pPr>
      <w:rPr>
        <w:rFonts w:ascii="Courier New" w:hAnsi="Courier New" w:cs="Arial" w:hint="default"/>
      </w:rPr>
    </w:lvl>
    <w:lvl w:ilvl="1" w:tplc="040C0003">
      <w:start w:val="1"/>
      <w:numFmt w:val="bullet"/>
      <w:lvlText w:val="o"/>
      <w:lvlJc w:val="left"/>
      <w:pPr>
        <w:ind w:left="1800" w:hanging="360"/>
      </w:pPr>
      <w:rPr>
        <w:rFonts w:ascii="Courier New" w:hAnsi="Courier New" w:cs="Aria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1BA2D64"/>
    <w:multiLevelType w:val="hybridMultilevel"/>
    <w:tmpl w:val="098241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800" w:hanging="360"/>
      </w:pPr>
      <w:rPr>
        <w:rFonts w:ascii="Courier New" w:hAnsi="Courier New" w:cs="Arial"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3670C05"/>
    <w:multiLevelType w:val="hybridMultilevel"/>
    <w:tmpl w:val="A128F014"/>
    <w:lvl w:ilvl="0" w:tplc="A59006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3E1625"/>
    <w:multiLevelType w:val="hybridMultilevel"/>
    <w:tmpl w:val="92AC59E6"/>
    <w:lvl w:ilvl="0" w:tplc="B92EB868">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31EA2"/>
    <w:multiLevelType w:val="hybridMultilevel"/>
    <w:tmpl w:val="468A85BA"/>
    <w:lvl w:ilvl="0" w:tplc="3588EA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6E2665"/>
    <w:multiLevelType w:val="hybridMultilevel"/>
    <w:tmpl w:val="DA325BF2"/>
    <w:lvl w:ilvl="0" w:tplc="99721D6C">
      <w:numFmt w:val="bullet"/>
      <w:lvlText w:val="-"/>
      <w:lvlJc w:val="left"/>
      <w:pPr>
        <w:ind w:left="2496" w:hanging="360"/>
      </w:pPr>
      <w:rPr>
        <w:rFonts w:ascii="Arial" w:eastAsia="Times New Roman" w:hAnsi="Arial" w:cs="Arial" w:hint="default"/>
      </w:rPr>
    </w:lvl>
    <w:lvl w:ilvl="1" w:tplc="040C0003">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2" w15:restartNumberingAfterBreak="0">
    <w:nsid w:val="4CBE5B81"/>
    <w:multiLevelType w:val="hybridMultilevel"/>
    <w:tmpl w:val="5B5069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10A4086"/>
    <w:multiLevelType w:val="hybridMultilevel"/>
    <w:tmpl w:val="854892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BE73AC"/>
    <w:multiLevelType w:val="hybridMultilevel"/>
    <w:tmpl w:val="1E6C8A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225ABF"/>
    <w:multiLevelType w:val="hybridMultilevel"/>
    <w:tmpl w:val="51F0E2A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2B1C6C"/>
    <w:multiLevelType w:val="hybridMultilevel"/>
    <w:tmpl w:val="2192430C"/>
    <w:lvl w:ilvl="0" w:tplc="8226741E">
      <w:start w:val="1"/>
      <w:numFmt w:val="bullet"/>
      <w:lvlText w:val="-"/>
      <w:lvlJc w:val="left"/>
      <w:pPr>
        <w:tabs>
          <w:tab w:val="num" w:pos="720"/>
        </w:tabs>
        <w:ind w:left="720" w:hanging="360"/>
      </w:pPr>
      <w:rPr>
        <w:rFonts w:ascii="Arial" w:hAnsi="Arial" w:hint="default"/>
      </w:rPr>
    </w:lvl>
    <w:lvl w:ilvl="1" w:tplc="0B3C72E2" w:tentative="1">
      <w:start w:val="1"/>
      <w:numFmt w:val="bullet"/>
      <w:lvlText w:val="-"/>
      <w:lvlJc w:val="left"/>
      <w:pPr>
        <w:tabs>
          <w:tab w:val="num" w:pos="1440"/>
        </w:tabs>
        <w:ind w:left="1440" w:hanging="360"/>
      </w:pPr>
      <w:rPr>
        <w:rFonts w:ascii="Arial" w:hAnsi="Arial" w:hint="default"/>
      </w:rPr>
    </w:lvl>
    <w:lvl w:ilvl="2" w:tplc="AFF4C0B0">
      <w:start w:val="1"/>
      <w:numFmt w:val="bullet"/>
      <w:lvlText w:val="-"/>
      <w:lvlJc w:val="left"/>
      <w:pPr>
        <w:tabs>
          <w:tab w:val="num" w:pos="2160"/>
        </w:tabs>
        <w:ind w:left="2160" w:hanging="360"/>
      </w:pPr>
      <w:rPr>
        <w:rFonts w:ascii="Arial" w:hAnsi="Arial" w:hint="default"/>
      </w:rPr>
    </w:lvl>
    <w:lvl w:ilvl="3" w:tplc="CBB43D2C">
      <w:start w:val="1"/>
      <w:numFmt w:val="bullet"/>
      <w:lvlText w:val="-"/>
      <w:lvlJc w:val="left"/>
      <w:pPr>
        <w:tabs>
          <w:tab w:val="num" w:pos="2880"/>
        </w:tabs>
        <w:ind w:left="2880" w:hanging="360"/>
      </w:pPr>
      <w:rPr>
        <w:rFonts w:ascii="Arial" w:hAnsi="Arial" w:hint="default"/>
      </w:rPr>
    </w:lvl>
    <w:lvl w:ilvl="4" w:tplc="30CED6AE" w:tentative="1">
      <w:start w:val="1"/>
      <w:numFmt w:val="bullet"/>
      <w:lvlText w:val="-"/>
      <w:lvlJc w:val="left"/>
      <w:pPr>
        <w:tabs>
          <w:tab w:val="num" w:pos="3600"/>
        </w:tabs>
        <w:ind w:left="3600" w:hanging="360"/>
      </w:pPr>
      <w:rPr>
        <w:rFonts w:ascii="Arial" w:hAnsi="Arial" w:hint="default"/>
      </w:rPr>
    </w:lvl>
    <w:lvl w:ilvl="5" w:tplc="53B0FAD8" w:tentative="1">
      <w:start w:val="1"/>
      <w:numFmt w:val="bullet"/>
      <w:lvlText w:val="-"/>
      <w:lvlJc w:val="left"/>
      <w:pPr>
        <w:tabs>
          <w:tab w:val="num" w:pos="4320"/>
        </w:tabs>
        <w:ind w:left="4320" w:hanging="360"/>
      </w:pPr>
      <w:rPr>
        <w:rFonts w:ascii="Arial" w:hAnsi="Arial" w:hint="default"/>
      </w:rPr>
    </w:lvl>
    <w:lvl w:ilvl="6" w:tplc="DB0269A2" w:tentative="1">
      <w:start w:val="1"/>
      <w:numFmt w:val="bullet"/>
      <w:lvlText w:val="-"/>
      <w:lvlJc w:val="left"/>
      <w:pPr>
        <w:tabs>
          <w:tab w:val="num" w:pos="5040"/>
        </w:tabs>
        <w:ind w:left="5040" w:hanging="360"/>
      </w:pPr>
      <w:rPr>
        <w:rFonts w:ascii="Arial" w:hAnsi="Arial" w:hint="default"/>
      </w:rPr>
    </w:lvl>
    <w:lvl w:ilvl="7" w:tplc="CA88588C" w:tentative="1">
      <w:start w:val="1"/>
      <w:numFmt w:val="bullet"/>
      <w:lvlText w:val="-"/>
      <w:lvlJc w:val="left"/>
      <w:pPr>
        <w:tabs>
          <w:tab w:val="num" w:pos="5760"/>
        </w:tabs>
        <w:ind w:left="5760" w:hanging="360"/>
      </w:pPr>
      <w:rPr>
        <w:rFonts w:ascii="Arial" w:hAnsi="Arial" w:hint="default"/>
      </w:rPr>
    </w:lvl>
    <w:lvl w:ilvl="8" w:tplc="81948E7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BD689D"/>
    <w:multiLevelType w:val="hybridMultilevel"/>
    <w:tmpl w:val="1CAE824E"/>
    <w:lvl w:ilvl="0" w:tplc="B92EB868">
      <w:start w:val="7"/>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8473BCC"/>
    <w:multiLevelType w:val="hybridMultilevel"/>
    <w:tmpl w:val="A40CE104"/>
    <w:lvl w:ilvl="0" w:tplc="B92EB868">
      <w:start w:val="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424CE7"/>
    <w:multiLevelType w:val="hybridMultilevel"/>
    <w:tmpl w:val="535C4004"/>
    <w:lvl w:ilvl="0" w:tplc="B92EB868">
      <w:start w:val="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21213"/>
    <w:multiLevelType w:val="hybridMultilevel"/>
    <w:tmpl w:val="2B3289D2"/>
    <w:lvl w:ilvl="0" w:tplc="D9308142">
      <w:start w:val="3"/>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15:restartNumberingAfterBreak="0">
    <w:nsid w:val="6D291B1E"/>
    <w:multiLevelType w:val="hybridMultilevel"/>
    <w:tmpl w:val="FB2ED046"/>
    <w:lvl w:ilvl="0" w:tplc="3E825E60">
      <w:start w:val="1"/>
      <w:numFmt w:val="bullet"/>
      <w:lvlText w:val=""/>
      <w:lvlJc w:val="left"/>
      <w:pPr>
        <w:ind w:left="720" w:hanging="360"/>
      </w:pPr>
      <w:rPr>
        <w:rFonts w:ascii="Wingdings 2" w:hAnsi="Wingdings 2" w:hint="default"/>
        <w:color w:val="auto"/>
      </w:rPr>
    </w:lvl>
    <w:lvl w:ilvl="1" w:tplc="9E06F33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540777"/>
    <w:multiLevelType w:val="hybridMultilevel"/>
    <w:tmpl w:val="2A928624"/>
    <w:lvl w:ilvl="0" w:tplc="B92EB868">
      <w:start w:val="7"/>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8DB302B"/>
    <w:multiLevelType w:val="hybridMultilevel"/>
    <w:tmpl w:val="3822D68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4" w15:restartNumberingAfterBreak="0">
    <w:nsid w:val="7CC30E18"/>
    <w:multiLevelType w:val="multilevel"/>
    <w:tmpl w:val="2FE4BDE2"/>
    <w:lvl w:ilvl="0">
      <w:start w:val="1"/>
      <w:numFmt w:val="decimal"/>
      <w:pStyle w:val="CTTitre1"/>
      <w:lvlText w:val="%1"/>
      <w:lvlJc w:val="left"/>
      <w:pPr>
        <w:tabs>
          <w:tab w:val="num" w:pos="720"/>
        </w:tabs>
        <w:ind w:left="720" w:hanging="360"/>
      </w:pPr>
      <w:rPr>
        <w:rFonts w:hint="default"/>
      </w:rPr>
    </w:lvl>
    <w:lvl w:ilvl="1">
      <w:start w:val="1"/>
      <w:numFmt w:val="decimal"/>
      <w:pStyle w:val="CTTitre2"/>
      <w:lvlText w:val="%1.%2."/>
      <w:lvlJc w:val="left"/>
      <w:pPr>
        <w:tabs>
          <w:tab w:val="num" w:pos="720"/>
        </w:tabs>
        <w:ind w:left="0" w:firstLine="0"/>
      </w:pPr>
      <w:rPr>
        <w:rFonts w:hint="default"/>
      </w:rPr>
    </w:lvl>
    <w:lvl w:ilvl="2">
      <w:start w:val="1"/>
      <w:numFmt w:val="decimal"/>
      <w:pStyle w:val="CTTitre3"/>
      <w:lvlText w:val="%1.%2.%3."/>
      <w:lvlJc w:val="left"/>
      <w:pPr>
        <w:tabs>
          <w:tab w:val="num" w:pos="1134"/>
        </w:tabs>
        <w:ind w:left="1134" w:hanging="68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abstractNumId w:val="29"/>
  </w:num>
  <w:num w:numId="2">
    <w:abstractNumId w:val="34"/>
  </w:num>
  <w:num w:numId="3">
    <w:abstractNumId w:val="7"/>
  </w:num>
  <w:num w:numId="4">
    <w:abstractNumId w:val="15"/>
  </w:num>
  <w:num w:numId="5">
    <w:abstractNumId w:val="29"/>
  </w:num>
  <w:num w:numId="6">
    <w:abstractNumId w:val="26"/>
  </w:num>
  <w:num w:numId="7">
    <w:abstractNumId w:val="13"/>
  </w:num>
  <w:num w:numId="8">
    <w:abstractNumId w:val="20"/>
  </w:num>
  <w:num w:numId="9">
    <w:abstractNumId w:val="11"/>
  </w:num>
  <w:num w:numId="10">
    <w:abstractNumId w:val="8"/>
  </w:num>
  <w:num w:numId="11">
    <w:abstractNumId w:val="1"/>
  </w:num>
  <w:num w:numId="12">
    <w:abstractNumId w:val="0"/>
  </w:num>
  <w:num w:numId="13">
    <w:abstractNumId w:val="22"/>
  </w:num>
  <w:num w:numId="14">
    <w:abstractNumId w:val="24"/>
  </w:num>
  <w:num w:numId="15">
    <w:abstractNumId w:val="21"/>
  </w:num>
  <w:num w:numId="16">
    <w:abstractNumId w:val="4"/>
  </w:num>
  <w:num w:numId="17">
    <w:abstractNumId w:val="2"/>
  </w:num>
  <w:num w:numId="18">
    <w:abstractNumId w:val="12"/>
  </w:num>
  <w:num w:numId="19">
    <w:abstractNumId w:val="33"/>
  </w:num>
  <w:num w:numId="20">
    <w:abstractNumId w:val="18"/>
  </w:num>
  <w:num w:numId="21">
    <w:abstractNumId w:val="19"/>
  </w:num>
  <w:num w:numId="22">
    <w:abstractNumId w:val="5"/>
  </w:num>
  <w:num w:numId="23">
    <w:abstractNumId w:val="32"/>
  </w:num>
  <w:num w:numId="24">
    <w:abstractNumId w:val="17"/>
  </w:num>
  <w:num w:numId="25">
    <w:abstractNumId w:val="16"/>
  </w:num>
  <w:num w:numId="26">
    <w:abstractNumId w:val="31"/>
  </w:num>
  <w:num w:numId="27">
    <w:abstractNumId w:val="27"/>
  </w:num>
  <w:num w:numId="28">
    <w:abstractNumId w:val="10"/>
  </w:num>
  <w:num w:numId="29">
    <w:abstractNumId w:val="28"/>
  </w:num>
  <w:num w:numId="30">
    <w:abstractNumId w:val="23"/>
  </w:num>
  <w:num w:numId="31">
    <w:abstractNumId w:val="6"/>
  </w:num>
  <w:num w:numId="32">
    <w:abstractNumId w:val="14"/>
  </w:num>
  <w:num w:numId="33">
    <w:abstractNumId w:val="25"/>
  </w:num>
  <w:num w:numId="34">
    <w:abstractNumId w:val="3"/>
  </w:num>
  <w:num w:numId="35">
    <w:abstractNumId w:val="30"/>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DD"/>
    <w:rsid w:val="00000D0D"/>
    <w:rsid w:val="00002F90"/>
    <w:rsid w:val="0000709A"/>
    <w:rsid w:val="00007413"/>
    <w:rsid w:val="00012B98"/>
    <w:rsid w:val="00014D89"/>
    <w:rsid w:val="00014ECC"/>
    <w:rsid w:val="00015091"/>
    <w:rsid w:val="00016287"/>
    <w:rsid w:val="00020631"/>
    <w:rsid w:val="000216E1"/>
    <w:rsid w:val="00021AB5"/>
    <w:rsid w:val="0002382D"/>
    <w:rsid w:val="000255D4"/>
    <w:rsid w:val="00027994"/>
    <w:rsid w:val="0003425B"/>
    <w:rsid w:val="00040A64"/>
    <w:rsid w:val="0004286B"/>
    <w:rsid w:val="000479D5"/>
    <w:rsid w:val="000503B3"/>
    <w:rsid w:val="00051455"/>
    <w:rsid w:val="00051D72"/>
    <w:rsid w:val="00051E1E"/>
    <w:rsid w:val="00052154"/>
    <w:rsid w:val="000526DD"/>
    <w:rsid w:val="00052B02"/>
    <w:rsid w:val="00053040"/>
    <w:rsid w:val="000536C9"/>
    <w:rsid w:val="000544F7"/>
    <w:rsid w:val="000557B3"/>
    <w:rsid w:val="00056B02"/>
    <w:rsid w:val="0005729C"/>
    <w:rsid w:val="000572A6"/>
    <w:rsid w:val="00057728"/>
    <w:rsid w:val="000579AF"/>
    <w:rsid w:val="0006534B"/>
    <w:rsid w:val="000707BB"/>
    <w:rsid w:val="00070D89"/>
    <w:rsid w:val="000723A6"/>
    <w:rsid w:val="00074484"/>
    <w:rsid w:val="00075B12"/>
    <w:rsid w:val="00075B53"/>
    <w:rsid w:val="0007793F"/>
    <w:rsid w:val="00077CC8"/>
    <w:rsid w:val="00081172"/>
    <w:rsid w:val="00082E35"/>
    <w:rsid w:val="00083AC0"/>
    <w:rsid w:val="00084F34"/>
    <w:rsid w:val="000856F6"/>
    <w:rsid w:val="00087B69"/>
    <w:rsid w:val="000902BC"/>
    <w:rsid w:val="00091FCF"/>
    <w:rsid w:val="00092D13"/>
    <w:rsid w:val="00092D54"/>
    <w:rsid w:val="00095663"/>
    <w:rsid w:val="00096651"/>
    <w:rsid w:val="000A0351"/>
    <w:rsid w:val="000A348F"/>
    <w:rsid w:val="000A4053"/>
    <w:rsid w:val="000A4310"/>
    <w:rsid w:val="000A43C6"/>
    <w:rsid w:val="000A44EB"/>
    <w:rsid w:val="000A5338"/>
    <w:rsid w:val="000A5387"/>
    <w:rsid w:val="000A7002"/>
    <w:rsid w:val="000B02B9"/>
    <w:rsid w:val="000B0560"/>
    <w:rsid w:val="000B1D2F"/>
    <w:rsid w:val="000B3331"/>
    <w:rsid w:val="000B49DA"/>
    <w:rsid w:val="000B5307"/>
    <w:rsid w:val="000B5A89"/>
    <w:rsid w:val="000B7A12"/>
    <w:rsid w:val="000C1EF7"/>
    <w:rsid w:val="000C36ED"/>
    <w:rsid w:val="000C6604"/>
    <w:rsid w:val="000C6B5B"/>
    <w:rsid w:val="000C7516"/>
    <w:rsid w:val="000D051F"/>
    <w:rsid w:val="000D1001"/>
    <w:rsid w:val="000D5600"/>
    <w:rsid w:val="000D6F45"/>
    <w:rsid w:val="000D736B"/>
    <w:rsid w:val="000D7BE5"/>
    <w:rsid w:val="000E0826"/>
    <w:rsid w:val="000E0A75"/>
    <w:rsid w:val="000E0F35"/>
    <w:rsid w:val="000E109D"/>
    <w:rsid w:val="000E14E5"/>
    <w:rsid w:val="000E2476"/>
    <w:rsid w:val="000E2DC1"/>
    <w:rsid w:val="000E3B1B"/>
    <w:rsid w:val="000E6039"/>
    <w:rsid w:val="000E7221"/>
    <w:rsid w:val="000F0214"/>
    <w:rsid w:val="000F30F2"/>
    <w:rsid w:val="000F608B"/>
    <w:rsid w:val="000F65C7"/>
    <w:rsid w:val="000F75C6"/>
    <w:rsid w:val="00102592"/>
    <w:rsid w:val="001047C5"/>
    <w:rsid w:val="00105F86"/>
    <w:rsid w:val="00107236"/>
    <w:rsid w:val="00113024"/>
    <w:rsid w:val="001152D6"/>
    <w:rsid w:val="00116400"/>
    <w:rsid w:val="001166EC"/>
    <w:rsid w:val="00117BE4"/>
    <w:rsid w:val="0012024E"/>
    <w:rsid w:val="001212A1"/>
    <w:rsid w:val="0012235A"/>
    <w:rsid w:val="00122DA9"/>
    <w:rsid w:val="00123D75"/>
    <w:rsid w:val="00126701"/>
    <w:rsid w:val="0013089D"/>
    <w:rsid w:val="00131281"/>
    <w:rsid w:val="00131B4D"/>
    <w:rsid w:val="00136A61"/>
    <w:rsid w:val="0013764C"/>
    <w:rsid w:val="00137C69"/>
    <w:rsid w:val="00140EFF"/>
    <w:rsid w:val="001410D8"/>
    <w:rsid w:val="00143C8C"/>
    <w:rsid w:val="0014749A"/>
    <w:rsid w:val="00147AD3"/>
    <w:rsid w:val="00147CD4"/>
    <w:rsid w:val="00150699"/>
    <w:rsid w:val="001514AE"/>
    <w:rsid w:val="0015241C"/>
    <w:rsid w:val="00152570"/>
    <w:rsid w:val="00152A64"/>
    <w:rsid w:val="00152F00"/>
    <w:rsid w:val="001547DE"/>
    <w:rsid w:val="00154B41"/>
    <w:rsid w:val="001552DA"/>
    <w:rsid w:val="0015579D"/>
    <w:rsid w:val="0015634F"/>
    <w:rsid w:val="001567F1"/>
    <w:rsid w:val="001570DF"/>
    <w:rsid w:val="001611AA"/>
    <w:rsid w:val="00161965"/>
    <w:rsid w:val="00162AAD"/>
    <w:rsid w:val="001639BF"/>
    <w:rsid w:val="00164A0D"/>
    <w:rsid w:val="00164EDD"/>
    <w:rsid w:val="00166E24"/>
    <w:rsid w:val="00170F98"/>
    <w:rsid w:val="00176D70"/>
    <w:rsid w:val="00184587"/>
    <w:rsid w:val="00187BB6"/>
    <w:rsid w:val="00190F9B"/>
    <w:rsid w:val="00194303"/>
    <w:rsid w:val="00194391"/>
    <w:rsid w:val="001946E4"/>
    <w:rsid w:val="00195617"/>
    <w:rsid w:val="0019562B"/>
    <w:rsid w:val="0019638B"/>
    <w:rsid w:val="0019681B"/>
    <w:rsid w:val="001A3EED"/>
    <w:rsid w:val="001A699D"/>
    <w:rsid w:val="001A763A"/>
    <w:rsid w:val="001B21DB"/>
    <w:rsid w:val="001B26E2"/>
    <w:rsid w:val="001B603E"/>
    <w:rsid w:val="001B69D4"/>
    <w:rsid w:val="001B7210"/>
    <w:rsid w:val="001B75FB"/>
    <w:rsid w:val="001C03E7"/>
    <w:rsid w:val="001C07E0"/>
    <w:rsid w:val="001C3C30"/>
    <w:rsid w:val="001C4D5A"/>
    <w:rsid w:val="001C6329"/>
    <w:rsid w:val="001D3390"/>
    <w:rsid w:val="001D4653"/>
    <w:rsid w:val="001D4796"/>
    <w:rsid w:val="001D4CDA"/>
    <w:rsid w:val="001D4D92"/>
    <w:rsid w:val="001D6DCD"/>
    <w:rsid w:val="001D711A"/>
    <w:rsid w:val="001D7FC4"/>
    <w:rsid w:val="001E22E3"/>
    <w:rsid w:val="001E46E2"/>
    <w:rsid w:val="001E4D62"/>
    <w:rsid w:val="001F63A0"/>
    <w:rsid w:val="001F7B64"/>
    <w:rsid w:val="00201706"/>
    <w:rsid w:val="00203AD2"/>
    <w:rsid w:val="00206FED"/>
    <w:rsid w:val="00207152"/>
    <w:rsid w:val="00210FF1"/>
    <w:rsid w:val="00211278"/>
    <w:rsid w:val="00212195"/>
    <w:rsid w:val="00212DC9"/>
    <w:rsid w:val="00215248"/>
    <w:rsid w:val="00215368"/>
    <w:rsid w:val="002156E7"/>
    <w:rsid w:val="00216E7B"/>
    <w:rsid w:val="00224EE7"/>
    <w:rsid w:val="00225E95"/>
    <w:rsid w:val="00225EA6"/>
    <w:rsid w:val="0022627E"/>
    <w:rsid w:val="002262D9"/>
    <w:rsid w:val="00227918"/>
    <w:rsid w:val="00231A34"/>
    <w:rsid w:val="00231E49"/>
    <w:rsid w:val="0023249C"/>
    <w:rsid w:val="00232D40"/>
    <w:rsid w:val="002348A8"/>
    <w:rsid w:val="0023589F"/>
    <w:rsid w:val="00236DAE"/>
    <w:rsid w:val="002372C7"/>
    <w:rsid w:val="0024011B"/>
    <w:rsid w:val="0024601F"/>
    <w:rsid w:val="00247758"/>
    <w:rsid w:val="00251944"/>
    <w:rsid w:val="00251C46"/>
    <w:rsid w:val="00251CC7"/>
    <w:rsid w:val="00254F4E"/>
    <w:rsid w:val="00256E7F"/>
    <w:rsid w:val="00261CE8"/>
    <w:rsid w:val="00270C53"/>
    <w:rsid w:val="00270E9B"/>
    <w:rsid w:val="00271A9F"/>
    <w:rsid w:val="002739E9"/>
    <w:rsid w:val="00274769"/>
    <w:rsid w:val="00276E29"/>
    <w:rsid w:val="00280C92"/>
    <w:rsid w:val="0028236A"/>
    <w:rsid w:val="0028397B"/>
    <w:rsid w:val="00285C03"/>
    <w:rsid w:val="00286161"/>
    <w:rsid w:val="00287706"/>
    <w:rsid w:val="00287908"/>
    <w:rsid w:val="00287A24"/>
    <w:rsid w:val="00290E0F"/>
    <w:rsid w:val="0029136B"/>
    <w:rsid w:val="002966A0"/>
    <w:rsid w:val="002A2EA2"/>
    <w:rsid w:val="002A5305"/>
    <w:rsid w:val="002A549E"/>
    <w:rsid w:val="002B1063"/>
    <w:rsid w:val="002B1C4A"/>
    <w:rsid w:val="002B2045"/>
    <w:rsid w:val="002B32E4"/>
    <w:rsid w:val="002B344B"/>
    <w:rsid w:val="002B39FD"/>
    <w:rsid w:val="002B4943"/>
    <w:rsid w:val="002B4A70"/>
    <w:rsid w:val="002B5405"/>
    <w:rsid w:val="002B7456"/>
    <w:rsid w:val="002C2086"/>
    <w:rsid w:val="002C3108"/>
    <w:rsid w:val="002C4F80"/>
    <w:rsid w:val="002C4F8C"/>
    <w:rsid w:val="002C6019"/>
    <w:rsid w:val="002C7C82"/>
    <w:rsid w:val="002D0F65"/>
    <w:rsid w:val="002D2C10"/>
    <w:rsid w:val="002E13FC"/>
    <w:rsid w:val="002E1A80"/>
    <w:rsid w:val="002E27BF"/>
    <w:rsid w:val="002E5E1C"/>
    <w:rsid w:val="002E7CA6"/>
    <w:rsid w:val="002F039F"/>
    <w:rsid w:val="002F06BE"/>
    <w:rsid w:val="002F3DEF"/>
    <w:rsid w:val="002F5CE0"/>
    <w:rsid w:val="002F6554"/>
    <w:rsid w:val="002F6722"/>
    <w:rsid w:val="002F6831"/>
    <w:rsid w:val="002F6947"/>
    <w:rsid w:val="002F74CB"/>
    <w:rsid w:val="002F7BDE"/>
    <w:rsid w:val="00302017"/>
    <w:rsid w:val="0030270F"/>
    <w:rsid w:val="003033F6"/>
    <w:rsid w:val="00307E78"/>
    <w:rsid w:val="00313FA7"/>
    <w:rsid w:val="00315440"/>
    <w:rsid w:val="003166EC"/>
    <w:rsid w:val="00317B46"/>
    <w:rsid w:val="00320CD0"/>
    <w:rsid w:val="00320EBC"/>
    <w:rsid w:val="0032326E"/>
    <w:rsid w:val="003238B8"/>
    <w:rsid w:val="003255C8"/>
    <w:rsid w:val="00326E99"/>
    <w:rsid w:val="00327ECD"/>
    <w:rsid w:val="0033067D"/>
    <w:rsid w:val="0033085E"/>
    <w:rsid w:val="003342B5"/>
    <w:rsid w:val="003361E7"/>
    <w:rsid w:val="003367EF"/>
    <w:rsid w:val="00340849"/>
    <w:rsid w:val="00342C6F"/>
    <w:rsid w:val="00344012"/>
    <w:rsid w:val="0034440E"/>
    <w:rsid w:val="00346A47"/>
    <w:rsid w:val="0034715C"/>
    <w:rsid w:val="00350655"/>
    <w:rsid w:val="00352A33"/>
    <w:rsid w:val="00356C54"/>
    <w:rsid w:val="00357E4B"/>
    <w:rsid w:val="00357F81"/>
    <w:rsid w:val="00363C63"/>
    <w:rsid w:val="00363C8E"/>
    <w:rsid w:val="00366B86"/>
    <w:rsid w:val="00367017"/>
    <w:rsid w:val="00367885"/>
    <w:rsid w:val="0037200C"/>
    <w:rsid w:val="003733A6"/>
    <w:rsid w:val="003756ED"/>
    <w:rsid w:val="00375739"/>
    <w:rsid w:val="003759CF"/>
    <w:rsid w:val="003760C5"/>
    <w:rsid w:val="00377166"/>
    <w:rsid w:val="0037740F"/>
    <w:rsid w:val="00377814"/>
    <w:rsid w:val="00380B5F"/>
    <w:rsid w:val="003825E8"/>
    <w:rsid w:val="00382A69"/>
    <w:rsid w:val="00383EDB"/>
    <w:rsid w:val="00384637"/>
    <w:rsid w:val="003866B3"/>
    <w:rsid w:val="00386FFF"/>
    <w:rsid w:val="00387F1E"/>
    <w:rsid w:val="0039311D"/>
    <w:rsid w:val="003962CB"/>
    <w:rsid w:val="00396F79"/>
    <w:rsid w:val="00397AE6"/>
    <w:rsid w:val="003A3BEB"/>
    <w:rsid w:val="003A4915"/>
    <w:rsid w:val="003A69BF"/>
    <w:rsid w:val="003A74A3"/>
    <w:rsid w:val="003A78C7"/>
    <w:rsid w:val="003B07C2"/>
    <w:rsid w:val="003B0EC5"/>
    <w:rsid w:val="003B1277"/>
    <w:rsid w:val="003B1C25"/>
    <w:rsid w:val="003B1C87"/>
    <w:rsid w:val="003B60E3"/>
    <w:rsid w:val="003B6A48"/>
    <w:rsid w:val="003C136B"/>
    <w:rsid w:val="003C21BE"/>
    <w:rsid w:val="003C40FB"/>
    <w:rsid w:val="003C4E3C"/>
    <w:rsid w:val="003D002D"/>
    <w:rsid w:val="003D452F"/>
    <w:rsid w:val="003D5D7F"/>
    <w:rsid w:val="003E01DF"/>
    <w:rsid w:val="003E1D6E"/>
    <w:rsid w:val="003E24CC"/>
    <w:rsid w:val="003E331B"/>
    <w:rsid w:val="003E58E0"/>
    <w:rsid w:val="003E5B51"/>
    <w:rsid w:val="003E6A3E"/>
    <w:rsid w:val="003F052B"/>
    <w:rsid w:val="003F1C2D"/>
    <w:rsid w:val="003F21C8"/>
    <w:rsid w:val="003F5D35"/>
    <w:rsid w:val="003F5EA6"/>
    <w:rsid w:val="003F6D7B"/>
    <w:rsid w:val="003F7635"/>
    <w:rsid w:val="00401730"/>
    <w:rsid w:val="00404215"/>
    <w:rsid w:val="004042DD"/>
    <w:rsid w:val="00404777"/>
    <w:rsid w:val="00407444"/>
    <w:rsid w:val="00411F83"/>
    <w:rsid w:val="004128E1"/>
    <w:rsid w:val="00412C6D"/>
    <w:rsid w:val="004163F4"/>
    <w:rsid w:val="00421F58"/>
    <w:rsid w:val="00424649"/>
    <w:rsid w:val="00424C92"/>
    <w:rsid w:val="00424E12"/>
    <w:rsid w:val="004278E3"/>
    <w:rsid w:val="00427D21"/>
    <w:rsid w:val="00427E19"/>
    <w:rsid w:val="0043293F"/>
    <w:rsid w:val="00434268"/>
    <w:rsid w:val="004346F7"/>
    <w:rsid w:val="00434966"/>
    <w:rsid w:val="00434D11"/>
    <w:rsid w:val="004350DF"/>
    <w:rsid w:val="00435C7E"/>
    <w:rsid w:val="0043634C"/>
    <w:rsid w:val="0044046D"/>
    <w:rsid w:val="0044068B"/>
    <w:rsid w:val="0044090E"/>
    <w:rsid w:val="00442A60"/>
    <w:rsid w:val="00443D2F"/>
    <w:rsid w:val="00450AD5"/>
    <w:rsid w:val="00452D9F"/>
    <w:rsid w:val="004531E3"/>
    <w:rsid w:val="004538C0"/>
    <w:rsid w:val="00460881"/>
    <w:rsid w:val="0046103E"/>
    <w:rsid w:val="00461436"/>
    <w:rsid w:val="00463FAE"/>
    <w:rsid w:val="0046413C"/>
    <w:rsid w:val="004669DD"/>
    <w:rsid w:val="0047128B"/>
    <w:rsid w:val="00473500"/>
    <w:rsid w:val="004750A9"/>
    <w:rsid w:val="0047524B"/>
    <w:rsid w:val="00475DBD"/>
    <w:rsid w:val="00475F95"/>
    <w:rsid w:val="004770B9"/>
    <w:rsid w:val="00481FB5"/>
    <w:rsid w:val="004829B5"/>
    <w:rsid w:val="00482BCA"/>
    <w:rsid w:val="0048444B"/>
    <w:rsid w:val="00484E47"/>
    <w:rsid w:val="004857F1"/>
    <w:rsid w:val="00485DD1"/>
    <w:rsid w:val="0048683C"/>
    <w:rsid w:val="004938A0"/>
    <w:rsid w:val="004940F3"/>
    <w:rsid w:val="00494C93"/>
    <w:rsid w:val="00495125"/>
    <w:rsid w:val="00495EC5"/>
    <w:rsid w:val="00496B40"/>
    <w:rsid w:val="00497BD2"/>
    <w:rsid w:val="004A1EB3"/>
    <w:rsid w:val="004A3891"/>
    <w:rsid w:val="004A48BD"/>
    <w:rsid w:val="004A49E4"/>
    <w:rsid w:val="004A517E"/>
    <w:rsid w:val="004A575B"/>
    <w:rsid w:val="004A5DFC"/>
    <w:rsid w:val="004A6801"/>
    <w:rsid w:val="004A7541"/>
    <w:rsid w:val="004B22B1"/>
    <w:rsid w:val="004B2676"/>
    <w:rsid w:val="004B36EE"/>
    <w:rsid w:val="004B4EBC"/>
    <w:rsid w:val="004B5E6B"/>
    <w:rsid w:val="004B5FF8"/>
    <w:rsid w:val="004B6778"/>
    <w:rsid w:val="004B67FB"/>
    <w:rsid w:val="004B744B"/>
    <w:rsid w:val="004B7FF0"/>
    <w:rsid w:val="004C0C98"/>
    <w:rsid w:val="004C0CEF"/>
    <w:rsid w:val="004C1269"/>
    <w:rsid w:val="004D0549"/>
    <w:rsid w:val="004D08F5"/>
    <w:rsid w:val="004D311B"/>
    <w:rsid w:val="004D35CA"/>
    <w:rsid w:val="004D4771"/>
    <w:rsid w:val="004D51B7"/>
    <w:rsid w:val="004D53E7"/>
    <w:rsid w:val="004D63F9"/>
    <w:rsid w:val="004E06E4"/>
    <w:rsid w:val="004E1512"/>
    <w:rsid w:val="004E6679"/>
    <w:rsid w:val="004F0B4B"/>
    <w:rsid w:val="004F2EF3"/>
    <w:rsid w:val="004F39F0"/>
    <w:rsid w:val="004F5DA2"/>
    <w:rsid w:val="004F5EAF"/>
    <w:rsid w:val="004F6B5D"/>
    <w:rsid w:val="004F7B90"/>
    <w:rsid w:val="00500B26"/>
    <w:rsid w:val="00501329"/>
    <w:rsid w:val="0050254D"/>
    <w:rsid w:val="00503696"/>
    <w:rsid w:val="0050412C"/>
    <w:rsid w:val="00504313"/>
    <w:rsid w:val="00504790"/>
    <w:rsid w:val="005053BC"/>
    <w:rsid w:val="0050590F"/>
    <w:rsid w:val="00510124"/>
    <w:rsid w:val="00512916"/>
    <w:rsid w:val="005133F5"/>
    <w:rsid w:val="005142B4"/>
    <w:rsid w:val="005205C5"/>
    <w:rsid w:val="0052169E"/>
    <w:rsid w:val="0052617C"/>
    <w:rsid w:val="00526EC1"/>
    <w:rsid w:val="00530FCF"/>
    <w:rsid w:val="00531C0B"/>
    <w:rsid w:val="00531E2A"/>
    <w:rsid w:val="005374F3"/>
    <w:rsid w:val="00537F80"/>
    <w:rsid w:val="005427AE"/>
    <w:rsid w:val="00545A21"/>
    <w:rsid w:val="00546D3E"/>
    <w:rsid w:val="00551338"/>
    <w:rsid w:val="005524D9"/>
    <w:rsid w:val="00556336"/>
    <w:rsid w:val="00561E8C"/>
    <w:rsid w:val="00562449"/>
    <w:rsid w:val="005643F6"/>
    <w:rsid w:val="00565902"/>
    <w:rsid w:val="00566729"/>
    <w:rsid w:val="00567230"/>
    <w:rsid w:val="0056781C"/>
    <w:rsid w:val="0057034E"/>
    <w:rsid w:val="00570CBB"/>
    <w:rsid w:val="00570E0E"/>
    <w:rsid w:val="005712DE"/>
    <w:rsid w:val="00572141"/>
    <w:rsid w:val="00572346"/>
    <w:rsid w:val="0057235C"/>
    <w:rsid w:val="00572C4B"/>
    <w:rsid w:val="00572D67"/>
    <w:rsid w:val="00577237"/>
    <w:rsid w:val="00580736"/>
    <w:rsid w:val="00583FC7"/>
    <w:rsid w:val="00585463"/>
    <w:rsid w:val="00585645"/>
    <w:rsid w:val="00585667"/>
    <w:rsid w:val="00585BE7"/>
    <w:rsid w:val="00586B04"/>
    <w:rsid w:val="00591E26"/>
    <w:rsid w:val="00591ED4"/>
    <w:rsid w:val="00592F90"/>
    <w:rsid w:val="0059373B"/>
    <w:rsid w:val="0059679E"/>
    <w:rsid w:val="0059770C"/>
    <w:rsid w:val="005A3139"/>
    <w:rsid w:val="005A3CA8"/>
    <w:rsid w:val="005A3FBC"/>
    <w:rsid w:val="005A4091"/>
    <w:rsid w:val="005A4DAC"/>
    <w:rsid w:val="005A541A"/>
    <w:rsid w:val="005B04F5"/>
    <w:rsid w:val="005B0968"/>
    <w:rsid w:val="005B0EF6"/>
    <w:rsid w:val="005B1FB6"/>
    <w:rsid w:val="005B2615"/>
    <w:rsid w:val="005B4D63"/>
    <w:rsid w:val="005B622D"/>
    <w:rsid w:val="005B734E"/>
    <w:rsid w:val="005B79E6"/>
    <w:rsid w:val="005C2D10"/>
    <w:rsid w:val="005C2D57"/>
    <w:rsid w:val="005C38EC"/>
    <w:rsid w:val="005C5600"/>
    <w:rsid w:val="005C5B6A"/>
    <w:rsid w:val="005C68B8"/>
    <w:rsid w:val="005C6C95"/>
    <w:rsid w:val="005D0D49"/>
    <w:rsid w:val="005D0DA9"/>
    <w:rsid w:val="005D23CC"/>
    <w:rsid w:val="005D529A"/>
    <w:rsid w:val="005D5AE0"/>
    <w:rsid w:val="005E02B5"/>
    <w:rsid w:val="005E102E"/>
    <w:rsid w:val="005E176C"/>
    <w:rsid w:val="005E37DD"/>
    <w:rsid w:val="005E68B7"/>
    <w:rsid w:val="005E70AD"/>
    <w:rsid w:val="005E7E48"/>
    <w:rsid w:val="005F18E8"/>
    <w:rsid w:val="005F241D"/>
    <w:rsid w:val="005F3BC2"/>
    <w:rsid w:val="005F4945"/>
    <w:rsid w:val="00600C2F"/>
    <w:rsid w:val="006017DD"/>
    <w:rsid w:val="006030DE"/>
    <w:rsid w:val="00603DC1"/>
    <w:rsid w:val="006041E7"/>
    <w:rsid w:val="006046B0"/>
    <w:rsid w:val="006052C2"/>
    <w:rsid w:val="006056C3"/>
    <w:rsid w:val="006060F7"/>
    <w:rsid w:val="00607172"/>
    <w:rsid w:val="006078BF"/>
    <w:rsid w:val="00607F1E"/>
    <w:rsid w:val="0061014C"/>
    <w:rsid w:val="00611433"/>
    <w:rsid w:val="00612F7A"/>
    <w:rsid w:val="00613244"/>
    <w:rsid w:val="006177E6"/>
    <w:rsid w:val="00620C58"/>
    <w:rsid w:val="006222D3"/>
    <w:rsid w:val="00622A84"/>
    <w:rsid w:val="0062347C"/>
    <w:rsid w:val="00623619"/>
    <w:rsid w:val="006243E8"/>
    <w:rsid w:val="006264BC"/>
    <w:rsid w:val="00626800"/>
    <w:rsid w:val="00626ADB"/>
    <w:rsid w:val="0063133F"/>
    <w:rsid w:val="0063202B"/>
    <w:rsid w:val="0063293E"/>
    <w:rsid w:val="0063313F"/>
    <w:rsid w:val="00634FE0"/>
    <w:rsid w:val="00635434"/>
    <w:rsid w:val="00640A54"/>
    <w:rsid w:val="0064116D"/>
    <w:rsid w:val="0064296F"/>
    <w:rsid w:val="006430B2"/>
    <w:rsid w:val="00644022"/>
    <w:rsid w:val="00645E9A"/>
    <w:rsid w:val="00646583"/>
    <w:rsid w:val="006466E6"/>
    <w:rsid w:val="00646B5A"/>
    <w:rsid w:val="00646EA8"/>
    <w:rsid w:val="006502AC"/>
    <w:rsid w:val="00651262"/>
    <w:rsid w:val="00651954"/>
    <w:rsid w:val="00653AF7"/>
    <w:rsid w:val="006577AC"/>
    <w:rsid w:val="00660A6A"/>
    <w:rsid w:val="00661147"/>
    <w:rsid w:val="00663C51"/>
    <w:rsid w:val="006660C1"/>
    <w:rsid w:val="0066641D"/>
    <w:rsid w:val="00666C30"/>
    <w:rsid w:val="00671496"/>
    <w:rsid w:val="00675291"/>
    <w:rsid w:val="0067699C"/>
    <w:rsid w:val="006772E9"/>
    <w:rsid w:val="00677EF9"/>
    <w:rsid w:val="00684418"/>
    <w:rsid w:val="0068617E"/>
    <w:rsid w:val="00686DB8"/>
    <w:rsid w:val="006878E8"/>
    <w:rsid w:val="00687928"/>
    <w:rsid w:val="00690F1A"/>
    <w:rsid w:val="00694087"/>
    <w:rsid w:val="006A0084"/>
    <w:rsid w:val="006A0CA9"/>
    <w:rsid w:val="006A5DBD"/>
    <w:rsid w:val="006A5E45"/>
    <w:rsid w:val="006A6491"/>
    <w:rsid w:val="006A70CB"/>
    <w:rsid w:val="006A7221"/>
    <w:rsid w:val="006B1290"/>
    <w:rsid w:val="006B1854"/>
    <w:rsid w:val="006B2F68"/>
    <w:rsid w:val="006B3BE4"/>
    <w:rsid w:val="006B474C"/>
    <w:rsid w:val="006B4A0E"/>
    <w:rsid w:val="006B6DC9"/>
    <w:rsid w:val="006B792D"/>
    <w:rsid w:val="006B7D3D"/>
    <w:rsid w:val="006B7DD4"/>
    <w:rsid w:val="006B7E5C"/>
    <w:rsid w:val="006C1838"/>
    <w:rsid w:val="006C7038"/>
    <w:rsid w:val="006C79BD"/>
    <w:rsid w:val="006D00A4"/>
    <w:rsid w:val="006D01B4"/>
    <w:rsid w:val="006D0640"/>
    <w:rsid w:val="006D1D56"/>
    <w:rsid w:val="006D20DA"/>
    <w:rsid w:val="006D2EAB"/>
    <w:rsid w:val="006E0D07"/>
    <w:rsid w:val="006E12F9"/>
    <w:rsid w:val="006E1C19"/>
    <w:rsid w:val="006E1EC7"/>
    <w:rsid w:val="006E2566"/>
    <w:rsid w:val="006E3BFB"/>
    <w:rsid w:val="006E4706"/>
    <w:rsid w:val="006E5E87"/>
    <w:rsid w:val="006F13EB"/>
    <w:rsid w:val="006F1A43"/>
    <w:rsid w:val="006F2535"/>
    <w:rsid w:val="006F4F1D"/>
    <w:rsid w:val="006F5DD1"/>
    <w:rsid w:val="006F626A"/>
    <w:rsid w:val="006F7B2A"/>
    <w:rsid w:val="00707986"/>
    <w:rsid w:val="00707A7C"/>
    <w:rsid w:val="00707AC1"/>
    <w:rsid w:val="0071144E"/>
    <w:rsid w:val="00714667"/>
    <w:rsid w:val="00714E08"/>
    <w:rsid w:val="0071667B"/>
    <w:rsid w:val="0071712D"/>
    <w:rsid w:val="00721EC5"/>
    <w:rsid w:val="007230C4"/>
    <w:rsid w:val="00724018"/>
    <w:rsid w:val="00724713"/>
    <w:rsid w:val="007265C8"/>
    <w:rsid w:val="00726BC6"/>
    <w:rsid w:val="007303D1"/>
    <w:rsid w:val="007327ED"/>
    <w:rsid w:val="00733A6A"/>
    <w:rsid w:val="00740666"/>
    <w:rsid w:val="00741155"/>
    <w:rsid w:val="0074196B"/>
    <w:rsid w:val="00742EA7"/>
    <w:rsid w:val="007445AD"/>
    <w:rsid w:val="00752B27"/>
    <w:rsid w:val="00752BDA"/>
    <w:rsid w:val="00761781"/>
    <w:rsid w:val="00761E1F"/>
    <w:rsid w:val="0076528F"/>
    <w:rsid w:val="00766520"/>
    <w:rsid w:val="007669CF"/>
    <w:rsid w:val="00767540"/>
    <w:rsid w:val="00767AE6"/>
    <w:rsid w:val="00767DC6"/>
    <w:rsid w:val="0077334E"/>
    <w:rsid w:val="00773AE2"/>
    <w:rsid w:val="007744F1"/>
    <w:rsid w:val="00774B0A"/>
    <w:rsid w:val="00775200"/>
    <w:rsid w:val="00776BEC"/>
    <w:rsid w:val="0077713E"/>
    <w:rsid w:val="00780477"/>
    <w:rsid w:val="00780E5F"/>
    <w:rsid w:val="00780E94"/>
    <w:rsid w:val="007872A8"/>
    <w:rsid w:val="00790353"/>
    <w:rsid w:val="007908C1"/>
    <w:rsid w:val="00791F11"/>
    <w:rsid w:val="0079245E"/>
    <w:rsid w:val="007946C7"/>
    <w:rsid w:val="0079486C"/>
    <w:rsid w:val="00794E4E"/>
    <w:rsid w:val="00794E7D"/>
    <w:rsid w:val="00797915"/>
    <w:rsid w:val="007A1077"/>
    <w:rsid w:val="007A1C40"/>
    <w:rsid w:val="007A29C7"/>
    <w:rsid w:val="007A3978"/>
    <w:rsid w:val="007A3DEE"/>
    <w:rsid w:val="007A494E"/>
    <w:rsid w:val="007A7754"/>
    <w:rsid w:val="007A7D70"/>
    <w:rsid w:val="007B0039"/>
    <w:rsid w:val="007B0CD7"/>
    <w:rsid w:val="007B0F7C"/>
    <w:rsid w:val="007B1284"/>
    <w:rsid w:val="007B248F"/>
    <w:rsid w:val="007B393D"/>
    <w:rsid w:val="007B5D8E"/>
    <w:rsid w:val="007B766B"/>
    <w:rsid w:val="007B78C9"/>
    <w:rsid w:val="007C1F1D"/>
    <w:rsid w:val="007C2EE5"/>
    <w:rsid w:val="007C4A30"/>
    <w:rsid w:val="007C4C9D"/>
    <w:rsid w:val="007C595E"/>
    <w:rsid w:val="007C5EDD"/>
    <w:rsid w:val="007C7521"/>
    <w:rsid w:val="007D005E"/>
    <w:rsid w:val="007D0F2D"/>
    <w:rsid w:val="007D2ED1"/>
    <w:rsid w:val="007D3F6D"/>
    <w:rsid w:val="007D559B"/>
    <w:rsid w:val="007D55A8"/>
    <w:rsid w:val="007D5857"/>
    <w:rsid w:val="007D67C5"/>
    <w:rsid w:val="007D6E95"/>
    <w:rsid w:val="007E21E0"/>
    <w:rsid w:val="007E448D"/>
    <w:rsid w:val="007E61BD"/>
    <w:rsid w:val="007F4750"/>
    <w:rsid w:val="007F4ACC"/>
    <w:rsid w:val="007F5191"/>
    <w:rsid w:val="007F62DD"/>
    <w:rsid w:val="007F65B4"/>
    <w:rsid w:val="007F6D6B"/>
    <w:rsid w:val="00801899"/>
    <w:rsid w:val="00803B51"/>
    <w:rsid w:val="00803CF5"/>
    <w:rsid w:val="008067F6"/>
    <w:rsid w:val="00807C97"/>
    <w:rsid w:val="00807D67"/>
    <w:rsid w:val="008102A0"/>
    <w:rsid w:val="00810681"/>
    <w:rsid w:val="008135B8"/>
    <w:rsid w:val="00813A79"/>
    <w:rsid w:val="00813E30"/>
    <w:rsid w:val="0081429A"/>
    <w:rsid w:val="00815DC9"/>
    <w:rsid w:val="00817552"/>
    <w:rsid w:val="008218DD"/>
    <w:rsid w:val="00821C8D"/>
    <w:rsid w:val="00822A38"/>
    <w:rsid w:val="00824D98"/>
    <w:rsid w:val="00826032"/>
    <w:rsid w:val="0082628D"/>
    <w:rsid w:val="0083076A"/>
    <w:rsid w:val="00831351"/>
    <w:rsid w:val="00832A40"/>
    <w:rsid w:val="008337FF"/>
    <w:rsid w:val="008356BD"/>
    <w:rsid w:val="00836986"/>
    <w:rsid w:val="00837B21"/>
    <w:rsid w:val="00841A8D"/>
    <w:rsid w:val="00844AA9"/>
    <w:rsid w:val="008451EF"/>
    <w:rsid w:val="008459C9"/>
    <w:rsid w:val="00846698"/>
    <w:rsid w:val="00851BAA"/>
    <w:rsid w:val="008539FA"/>
    <w:rsid w:val="00857147"/>
    <w:rsid w:val="00861105"/>
    <w:rsid w:val="00862A2D"/>
    <w:rsid w:val="008674D2"/>
    <w:rsid w:val="00870440"/>
    <w:rsid w:val="00870869"/>
    <w:rsid w:val="00870957"/>
    <w:rsid w:val="00873425"/>
    <w:rsid w:val="008758FE"/>
    <w:rsid w:val="008766E5"/>
    <w:rsid w:val="00880F58"/>
    <w:rsid w:val="0088110B"/>
    <w:rsid w:val="0088165C"/>
    <w:rsid w:val="00881679"/>
    <w:rsid w:val="00882E4B"/>
    <w:rsid w:val="00884EDB"/>
    <w:rsid w:val="008851E0"/>
    <w:rsid w:val="008873DC"/>
    <w:rsid w:val="008916C7"/>
    <w:rsid w:val="0089206A"/>
    <w:rsid w:val="008922A1"/>
    <w:rsid w:val="00894AAA"/>
    <w:rsid w:val="00896508"/>
    <w:rsid w:val="00897D84"/>
    <w:rsid w:val="008A0AF6"/>
    <w:rsid w:val="008A11F2"/>
    <w:rsid w:val="008A6442"/>
    <w:rsid w:val="008B0F45"/>
    <w:rsid w:val="008B1CC0"/>
    <w:rsid w:val="008B1EFF"/>
    <w:rsid w:val="008B392C"/>
    <w:rsid w:val="008B4726"/>
    <w:rsid w:val="008B5E60"/>
    <w:rsid w:val="008B71F3"/>
    <w:rsid w:val="008C2A56"/>
    <w:rsid w:val="008C2F96"/>
    <w:rsid w:val="008C343F"/>
    <w:rsid w:val="008C3778"/>
    <w:rsid w:val="008C3B47"/>
    <w:rsid w:val="008C3E8E"/>
    <w:rsid w:val="008C778D"/>
    <w:rsid w:val="008D0F95"/>
    <w:rsid w:val="008D1C62"/>
    <w:rsid w:val="008D2413"/>
    <w:rsid w:val="008D4118"/>
    <w:rsid w:val="008D6B3A"/>
    <w:rsid w:val="008E074D"/>
    <w:rsid w:val="008E1534"/>
    <w:rsid w:val="008E21B6"/>
    <w:rsid w:val="008E2555"/>
    <w:rsid w:val="008E33F6"/>
    <w:rsid w:val="008E34C6"/>
    <w:rsid w:val="008E420D"/>
    <w:rsid w:val="008E5230"/>
    <w:rsid w:val="008E5CDA"/>
    <w:rsid w:val="008E7545"/>
    <w:rsid w:val="008F1FD6"/>
    <w:rsid w:val="008F27EB"/>
    <w:rsid w:val="008F3DBE"/>
    <w:rsid w:val="008F4E1B"/>
    <w:rsid w:val="009012EA"/>
    <w:rsid w:val="00901C06"/>
    <w:rsid w:val="00902060"/>
    <w:rsid w:val="00906BE6"/>
    <w:rsid w:val="00913F7D"/>
    <w:rsid w:val="00914350"/>
    <w:rsid w:val="0091491D"/>
    <w:rsid w:val="009201DB"/>
    <w:rsid w:val="00920515"/>
    <w:rsid w:val="0092095B"/>
    <w:rsid w:val="00922883"/>
    <w:rsid w:val="00923DDB"/>
    <w:rsid w:val="00926388"/>
    <w:rsid w:val="00926A15"/>
    <w:rsid w:val="00926DDB"/>
    <w:rsid w:val="00926FF1"/>
    <w:rsid w:val="00930474"/>
    <w:rsid w:val="009315D8"/>
    <w:rsid w:val="0093179A"/>
    <w:rsid w:val="00931B15"/>
    <w:rsid w:val="00931BE4"/>
    <w:rsid w:val="0093272F"/>
    <w:rsid w:val="009335D6"/>
    <w:rsid w:val="00934F4F"/>
    <w:rsid w:val="009414CC"/>
    <w:rsid w:val="00941A18"/>
    <w:rsid w:val="00947B14"/>
    <w:rsid w:val="009504D2"/>
    <w:rsid w:val="009519B0"/>
    <w:rsid w:val="00951C17"/>
    <w:rsid w:val="009520FE"/>
    <w:rsid w:val="009521FD"/>
    <w:rsid w:val="009566AE"/>
    <w:rsid w:val="00956957"/>
    <w:rsid w:val="00956960"/>
    <w:rsid w:val="0095765D"/>
    <w:rsid w:val="00961790"/>
    <w:rsid w:val="009639EC"/>
    <w:rsid w:val="00963EF7"/>
    <w:rsid w:val="0096445C"/>
    <w:rsid w:val="0096532F"/>
    <w:rsid w:val="009654F2"/>
    <w:rsid w:val="009663AE"/>
    <w:rsid w:val="00967CD9"/>
    <w:rsid w:val="00970390"/>
    <w:rsid w:val="00970E6C"/>
    <w:rsid w:val="009719E7"/>
    <w:rsid w:val="00974011"/>
    <w:rsid w:val="00974FDE"/>
    <w:rsid w:val="009767D1"/>
    <w:rsid w:val="00977FB7"/>
    <w:rsid w:val="00980C95"/>
    <w:rsid w:val="00980F8F"/>
    <w:rsid w:val="00981BA0"/>
    <w:rsid w:val="00981E1D"/>
    <w:rsid w:val="00984626"/>
    <w:rsid w:val="00987AEF"/>
    <w:rsid w:val="00990A4E"/>
    <w:rsid w:val="00990F72"/>
    <w:rsid w:val="00992340"/>
    <w:rsid w:val="00993F56"/>
    <w:rsid w:val="009A3BFE"/>
    <w:rsid w:val="009A4749"/>
    <w:rsid w:val="009A6723"/>
    <w:rsid w:val="009A7301"/>
    <w:rsid w:val="009B05A1"/>
    <w:rsid w:val="009B0BCB"/>
    <w:rsid w:val="009B1CD1"/>
    <w:rsid w:val="009B2B1F"/>
    <w:rsid w:val="009B3DC9"/>
    <w:rsid w:val="009B4835"/>
    <w:rsid w:val="009B5417"/>
    <w:rsid w:val="009B5590"/>
    <w:rsid w:val="009B7F4D"/>
    <w:rsid w:val="009C0DC4"/>
    <w:rsid w:val="009C36A9"/>
    <w:rsid w:val="009C5547"/>
    <w:rsid w:val="009C68E1"/>
    <w:rsid w:val="009C72C8"/>
    <w:rsid w:val="009C7E40"/>
    <w:rsid w:val="009D1005"/>
    <w:rsid w:val="009D2CF8"/>
    <w:rsid w:val="009D5946"/>
    <w:rsid w:val="009E0711"/>
    <w:rsid w:val="009E2347"/>
    <w:rsid w:val="009E2FE6"/>
    <w:rsid w:val="009E305D"/>
    <w:rsid w:val="009E6C04"/>
    <w:rsid w:val="009F04D2"/>
    <w:rsid w:val="009F0BBB"/>
    <w:rsid w:val="009F1403"/>
    <w:rsid w:val="009F2C50"/>
    <w:rsid w:val="009F3FFE"/>
    <w:rsid w:val="009F4049"/>
    <w:rsid w:val="009F66B1"/>
    <w:rsid w:val="009F6E3B"/>
    <w:rsid w:val="00A00092"/>
    <w:rsid w:val="00A000BD"/>
    <w:rsid w:val="00A0062C"/>
    <w:rsid w:val="00A05536"/>
    <w:rsid w:val="00A05FAE"/>
    <w:rsid w:val="00A061F2"/>
    <w:rsid w:val="00A10684"/>
    <w:rsid w:val="00A106F4"/>
    <w:rsid w:val="00A1086B"/>
    <w:rsid w:val="00A10FD9"/>
    <w:rsid w:val="00A11F20"/>
    <w:rsid w:val="00A132B4"/>
    <w:rsid w:val="00A14A35"/>
    <w:rsid w:val="00A14F27"/>
    <w:rsid w:val="00A15426"/>
    <w:rsid w:val="00A2036A"/>
    <w:rsid w:val="00A20399"/>
    <w:rsid w:val="00A27602"/>
    <w:rsid w:val="00A325DA"/>
    <w:rsid w:val="00A345EA"/>
    <w:rsid w:val="00A36F8B"/>
    <w:rsid w:val="00A37034"/>
    <w:rsid w:val="00A41501"/>
    <w:rsid w:val="00A44EED"/>
    <w:rsid w:val="00A454D7"/>
    <w:rsid w:val="00A45ADF"/>
    <w:rsid w:val="00A45D3D"/>
    <w:rsid w:val="00A45F01"/>
    <w:rsid w:val="00A46060"/>
    <w:rsid w:val="00A4651A"/>
    <w:rsid w:val="00A4781D"/>
    <w:rsid w:val="00A51B94"/>
    <w:rsid w:val="00A5354B"/>
    <w:rsid w:val="00A53EE5"/>
    <w:rsid w:val="00A54D81"/>
    <w:rsid w:val="00A54FEF"/>
    <w:rsid w:val="00A55F41"/>
    <w:rsid w:val="00A57103"/>
    <w:rsid w:val="00A63D9C"/>
    <w:rsid w:val="00A648FB"/>
    <w:rsid w:val="00A64EE4"/>
    <w:rsid w:val="00A66257"/>
    <w:rsid w:val="00A664A1"/>
    <w:rsid w:val="00A66657"/>
    <w:rsid w:val="00A70AAC"/>
    <w:rsid w:val="00A71473"/>
    <w:rsid w:val="00A75A62"/>
    <w:rsid w:val="00A75B8E"/>
    <w:rsid w:val="00A801B8"/>
    <w:rsid w:val="00A81B9E"/>
    <w:rsid w:val="00A82F82"/>
    <w:rsid w:val="00A876D9"/>
    <w:rsid w:val="00A92292"/>
    <w:rsid w:val="00A929B5"/>
    <w:rsid w:val="00A93594"/>
    <w:rsid w:val="00A94569"/>
    <w:rsid w:val="00A95998"/>
    <w:rsid w:val="00A965C6"/>
    <w:rsid w:val="00AA145C"/>
    <w:rsid w:val="00AA1EF6"/>
    <w:rsid w:val="00AB14A3"/>
    <w:rsid w:val="00AB2D8C"/>
    <w:rsid w:val="00AB3225"/>
    <w:rsid w:val="00AB5E7A"/>
    <w:rsid w:val="00AB7894"/>
    <w:rsid w:val="00AB7BB1"/>
    <w:rsid w:val="00AB7C09"/>
    <w:rsid w:val="00AC069B"/>
    <w:rsid w:val="00AC07CA"/>
    <w:rsid w:val="00AC309D"/>
    <w:rsid w:val="00AC39E8"/>
    <w:rsid w:val="00AC4E5D"/>
    <w:rsid w:val="00AD031C"/>
    <w:rsid w:val="00AD2913"/>
    <w:rsid w:val="00AD29B8"/>
    <w:rsid w:val="00AD3885"/>
    <w:rsid w:val="00AD5115"/>
    <w:rsid w:val="00AD65BC"/>
    <w:rsid w:val="00AE0AB5"/>
    <w:rsid w:val="00AE0C89"/>
    <w:rsid w:val="00AE11B9"/>
    <w:rsid w:val="00AE2238"/>
    <w:rsid w:val="00AE2353"/>
    <w:rsid w:val="00AE281E"/>
    <w:rsid w:val="00AE3CCF"/>
    <w:rsid w:val="00AE6C8E"/>
    <w:rsid w:val="00AE7669"/>
    <w:rsid w:val="00AE78DC"/>
    <w:rsid w:val="00AE7C36"/>
    <w:rsid w:val="00AF1258"/>
    <w:rsid w:val="00AF2C2B"/>
    <w:rsid w:val="00AF313C"/>
    <w:rsid w:val="00AF3F2D"/>
    <w:rsid w:val="00AF5125"/>
    <w:rsid w:val="00AF7D9C"/>
    <w:rsid w:val="00AF7F90"/>
    <w:rsid w:val="00B01F31"/>
    <w:rsid w:val="00B025DB"/>
    <w:rsid w:val="00B0474F"/>
    <w:rsid w:val="00B04E3B"/>
    <w:rsid w:val="00B05E21"/>
    <w:rsid w:val="00B060A1"/>
    <w:rsid w:val="00B0675C"/>
    <w:rsid w:val="00B07A77"/>
    <w:rsid w:val="00B1094B"/>
    <w:rsid w:val="00B10D5C"/>
    <w:rsid w:val="00B11DD6"/>
    <w:rsid w:val="00B1256C"/>
    <w:rsid w:val="00B13305"/>
    <w:rsid w:val="00B1556F"/>
    <w:rsid w:val="00B1658D"/>
    <w:rsid w:val="00B16DD8"/>
    <w:rsid w:val="00B2531A"/>
    <w:rsid w:val="00B267B2"/>
    <w:rsid w:val="00B26BE4"/>
    <w:rsid w:val="00B3264E"/>
    <w:rsid w:val="00B3370B"/>
    <w:rsid w:val="00B3545F"/>
    <w:rsid w:val="00B3561F"/>
    <w:rsid w:val="00B37AE8"/>
    <w:rsid w:val="00B40D4C"/>
    <w:rsid w:val="00B4197F"/>
    <w:rsid w:val="00B428A6"/>
    <w:rsid w:val="00B443EE"/>
    <w:rsid w:val="00B44AF5"/>
    <w:rsid w:val="00B4542E"/>
    <w:rsid w:val="00B463C7"/>
    <w:rsid w:val="00B46C70"/>
    <w:rsid w:val="00B46D6F"/>
    <w:rsid w:val="00B475A2"/>
    <w:rsid w:val="00B475D9"/>
    <w:rsid w:val="00B47F8F"/>
    <w:rsid w:val="00B50AD8"/>
    <w:rsid w:val="00B51884"/>
    <w:rsid w:val="00B52953"/>
    <w:rsid w:val="00B532A4"/>
    <w:rsid w:val="00B53871"/>
    <w:rsid w:val="00B54237"/>
    <w:rsid w:val="00B57014"/>
    <w:rsid w:val="00B574AE"/>
    <w:rsid w:val="00B60218"/>
    <w:rsid w:val="00B6099B"/>
    <w:rsid w:val="00B60C6F"/>
    <w:rsid w:val="00B60CEC"/>
    <w:rsid w:val="00B6346B"/>
    <w:rsid w:val="00B6393E"/>
    <w:rsid w:val="00B63B56"/>
    <w:rsid w:val="00B66036"/>
    <w:rsid w:val="00B70BA7"/>
    <w:rsid w:val="00B726E1"/>
    <w:rsid w:val="00B7389C"/>
    <w:rsid w:val="00B7427A"/>
    <w:rsid w:val="00B74629"/>
    <w:rsid w:val="00B75B38"/>
    <w:rsid w:val="00B75C0B"/>
    <w:rsid w:val="00B75C8D"/>
    <w:rsid w:val="00B761FF"/>
    <w:rsid w:val="00B8164F"/>
    <w:rsid w:val="00B8231A"/>
    <w:rsid w:val="00B83DA4"/>
    <w:rsid w:val="00B84421"/>
    <w:rsid w:val="00B84ACA"/>
    <w:rsid w:val="00B85B24"/>
    <w:rsid w:val="00B865D1"/>
    <w:rsid w:val="00B86AE8"/>
    <w:rsid w:val="00B86BCB"/>
    <w:rsid w:val="00B90C7C"/>
    <w:rsid w:val="00B91B03"/>
    <w:rsid w:val="00B93CEB"/>
    <w:rsid w:val="00B9683F"/>
    <w:rsid w:val="00B97CC3"/>
    <w:rsid w:val="00B97FDA"/>
    <w:rsid w:val="00BA0971"/>
    <w:rsid w:val="00BA3505"/>
    <w:rsid w:val="00BA42E2"/>
    <w:rsid w:val="00BA72F8"/>
    <w:rsid w:val="00BA74C8"/>
    <w:rsid w:val="00BB0632"/>
    <w:rsid w:val="00BB17DF"/>
    <w:rsid w:val="00BB1BDA"/>
    <w:rsid w:val="00BB233F"/>
    <w:rsid w:val="00BB3DC8"/>
    <w:rsid w:val="00BB5F38"/>
    <w:rsid w:val="00BB6BC9"/>
    <w:rsid w:val="00BC1055"/>
    <w:rsid w:val="00BC1DDF"/>
    <w:rsid w:val="00BC32C4"/>
    <w:rsid w:val="00BC3C05"/>
    <w:rsid w:val="00BC7CE8"/>
    <w:rsid w:val="00BD2746"/>
    <w:rsid w:val="00BD349A"/>
    <w:rsid w:val="00BD4ED4"/>
    <w:rsid w:val="00BD5337"/>
    <w:rsid w:val="00BD61E6"/>
    <w:rsid w:val="00BE005C"/>
    <w:rsid w:val="00BE18FE"/>
    <w:rsid w:val="00BE2571"/>
    <w:rsid w:val="00BE2DBC"/>
    <w:rsid w:val="00BE30BA"/>
    <w:rsid w:val="00BE646D"/>
    <w:rsid w:val="00BE6612"/>
    <w:rsid w:val="00BE7380"/>
    <w:rsid w:val="00BE7869"/>
    <w:rsid w:val="00BF5F5D"/>
    <w:rsid w:val="00C006A5"/>
    <w:rsid w:val="00C03744"/>
    <w:rsid w:val="00C06A13"/>
    <w:rsid w:val="00C06BD7"/>
    <w:rsid w:val="00C073C9"/>
    <w:rsid w:val="00C07C5B"/>
    <w:rsid w:val="00C11139"/>
    <w:rsid w:val="00C12047"/>
    <w:rsid w:val="00C13E96"/>
    <w:rsid w:val="00C16D06"/>
    <w:rsid w:val="00C16F21"/>
    <w:rsid w:val="00C23908"/>
    <w:rsid w:val="00C24FB5"/>
    <w:rsid w:val="00C25289"/>
    <w:rsid w:val="00C264ED"/>
    <w:rsid w:val="00C302C8"/>
    <w:rsid w:val="00C30EA0"/>
    <w:rsid w:val="00C32CF6"/>
    <w:rsid w:val="00C3372E"/>
    <w:rsid w:val="00C34057"/>
    <w:rsid w:val="00C4174A"/>
    <w:rsid w:val="00C41A36"/>
    <w:rsid w:val="00C4277B"/>
    <w:rsid w:val="00C44B42"/>
    <w:rsid w:val="00C471FC"/>
    <w:rsid w:val="00C504C4"/>
    <w:rsid w:val="00C523F4"/>
    <w:rsid w:val="00C53131"/>
    <w:rsid w:val="00C628D5"/>
    <w:rsid w:val="00C6432D"/>
    <w:rsid w:val="00C66086"/>
    <w:rsid w:val="00C66837"/>
    <w:rsid w:val="00C70530"/>
    <w:rsid w:val="00C712C7"/>
    <w:rsid w:val="00C73484"/>
    <w:rsid w:val="00C75A92"/>
    <w:rsid w:val="00C76763"/>
    <w:rsid w:val="00C76951"/>
    <w:rsid w:val="00C76A2A"/>
    <w:rsid w:val="00C7709B"/>
    <w:rsid w:val="00C77AE4"/>
    <w:rsid w:val="00C77CC7"/>
    <w:rsid w:val="00C80447"/>
    <w:rsid w:val="00C80A07"/>
    <w:rsid w:val="00C84278"/>
    <w:rsid w:val="00C8537B"/>
    <w:rsid w:val="00C87A84"/>
    <w:rsid w:val="00C93171"/>
    <w:rsid w:val="00C96277"/>
    <w:rsid w:val="00CA04C3"/>
    <w:rsid w:val="00CA218C"/>
    <w:rsid w:val="00CA240D"/>
    <w:rsid w:val="00CA3A59"/>
    <w:rsid w:val="00CA3BED"/>
    <w:rsid w:val="00CA4C0F"/>
    <w:rsid w:val="00CA5389"/>
    <w:rsid w:val="00CA5CAB"/>
    <w:rsid w:val="00CA66D0"/>
    <w:rsid w:val="00CB1659"/>
    <w:rsid w:val="00CB17CA"/>
    <w:rsid w:val="00CB3B8C"/>
    <w:rsid w:val="00CB4DEA"/>
    <w:rsid w:val="00CB623C"/>
    <w:rsid w:val="00CB6B12"/>
    <w:rsid w:val="00CB6F00"/>
    <w:rsid w:val="00CC01A9"/>
    <w:rsid w:val="00CC2128"/>
    <w:rsid w:val="00CC2175"/>
    <w:rsid w:val="00CC629B"/>
    <w:rsid w:val="00CC72B5"/>
    <w:rsid w:val="00CC7C46"/>
    <w:rsid w:val="00CC7EFA"/>
    <w:rsid w:val="00CD2B46"/>
    <w:rsid w:val="00CD2DD8"/>
    <w:rsid w:val="00CD43A9"/>
    <w:rsid w:val="00CD52CE"/>
    <w:rsid w:val="00CD7D65"/>
    <w:rsid w:val="00CD7D8B"/>
    <w:rsid w:val="00CE2DAD"/>
    <w:rsid w:val="00CE4139"/>
    <w:rsid w:val="00CE4230"/>
    <w:rsid w:val="00CE6368"/>
    <w:rsid w:val="00CF0616"/>
    <w:rsid w:val="00CF0878"/>
    <w:rsid w:val="00CF09B7"/>
    <w:rsid w:val="00CF27E0"/>
    <w:rsid w:val="00CF5A4F"/>
    <w:rsid w:val="00CF6B65"/>
    <w:rsid w:val="00CF709A"/>
    <w:rsid w:val="00CF77DD"/>
    <w:rsid w:val="00CF7F64"/>
    <w:rsid w:val="00D01062"/>
    <w:rsid w:val="00D0110B"/>
    <w:rsid w:val="00D03AC4"/>
    <w:rsid w:val="00D04F75"/>
    <w:rsid w:val="00D055FC"/>
    <w:rsid w:val="00D07E58"/>
    <w:rsid w:val="00D100BD"/>
    <w:rsid w:val="00D126CE"/>
    <w:rsid w:val="00D15D45"/>
    <w:rsid w:val="00D2069A"/>
    <w:rsid w:val="00D21EB7"/>
    <w:rsid w:val="00D21FD4"/>
    <w:rsid w:val="00D24593"/>
    <w:rsid w:val="00D26311"/>
    <w:rsid w:val="00D269C6"/>
    <w:rsid w:val="00D275C6"/>
    <w:rsid w:val="00D3308C"/>
    <w:rsid w:val="00D34343"/>
    <w:rsid w:val="00D347E0"/>
    <w:rsid w:val="00D34E2F"/>
    <w:rsid w:val="00D3562D"/>
    <w:rsid w:val="00D36D0F"/>
    <w:rsid w:val="00D373DF"/>
    <w:rsid w:val="00D379DA"/>
    <w:rsid w:val="00D423AF"/>
    <w:rsid w:val="00D42BB6"/>
    <w:rsid w:val="00D431DF"/>
    <w:rsid w:val="00D43461"/>
    <w:rsid w:val="00D434CC"/>
    <w:rsid w:val="00D43BBF"/>
    <w:rsid w:val="00D43F97"/>
    <w:rsid w:val="00D45C2B"/>
    <w:rsid w:val="00D53C2B"/>
    <w:rsid w:val="00D56128"/>
    <w:rsid w:val="00D56838"/>
    <w:rsid w:val="00D56AB2"/>
    <w:rsid w:val="00D6176C"/>
    <w:rsid w:val="00D61B79"/>
    <w:rsid w:val="00D61CAA"/>
    <w:rsid w:val="00D6325E"/>
    <w:rsid w:val="00D64530"/>
    <w:rsid w:val="00D64687"/>
    <w:rsid w:val="00D64EEB"/>
    <w:rsid w:val="00D70EFC"/>
    <w:rsid w:val="00D7206A"/>
    <w:rsid w:val="00D7256F"/>
    <w:rsid w:val="00D72C3F"/>
    <w:rsid w:val="00D736A4"/>
    <w:rsid w:val="00D74510"/>
    <w:rsid w:val="00D77731"/>
    <w:rsid w:val="00D82538"/>
    <w:rsid w:val="00D83E2F"/>
    <w:rsid w:val="00D84E4A"/>
    <w:rsid w:val="00D86E3B"/>
    <w:rsid w:val="00D92896"/>
    <w:rsid w:val="00D92DD1"/>
    <w:rsid w:val="00D94A15"/>
    <w:rsid w:val="00D94B09"/>
    <w:rsid w:val="00D94BBC"/>
    <w:rsid w:val="00D9615C"/>
    <w:rsid w:val="00D97AB1"/>
    <w:rsid w:val="00DA349E"/>
    <w:rsid w:val="00DA5D02"/>
    <w:rsid w:val="00DA640D"/>
    <w:rsid w:val="00DA68D0"/>
    <w:rsid w:val="00DA6BD6"/>
    <w:rsid w:val="00DA6CF7"/>
    <w:rsid w:val="00DA7AEE"/>
    <w:rsid w:val="00DA7BB1"/>
    <w:rsid w:val="00DB020D"/>
    <w:rsid w:val="00DB0574"/>
    <w:rsid w:val="00DB17E4"/>
    <w:rsid w:val="00DB1BA9"/>
    <w:rsid w:val="00DB24A9"/>
    <w:rsid w:val="00DB3512"/>
    <w:rsid w:val="00DB3714"/>
    <w:rsid w:val="00DB4331"/>
    <w:rsid w:val="00DB6571"/>
    <w:rsid w:val="00DB7351"/>
    <w:rsid w:val="00DC124B"/>
    <w:rsid w:val="00DC3938"/>
    <w:rsid w:val="00DC49DA"/>
    <w:rsid w:val="00DC67FB"/>
    <w:rsid w:val="00DC7103"/>
    <w:rsid w:val="00DD0462"/>
    <w:rsid w:val="00DD227E"/>
    <w:rsid w:val="00DD2385"/>
    <w:rsid w:val="00DD4C07"/>
    <w:rsid w:val="00DD58B2"/>
    <w:rsid w:val="00DD758D"/>
    <w:rsid w:val="00DD7C8A"/>
    <w:rsid w:val="00DD7DD0"/>
    <w:rsid w:val="00DE00DE"/>
    <w:rsid w:val="00DE1EAD"/>
    <w:rsid w:val="00DE287E"/>
    <w:rsid w:val="00DE2D9E"/>
    <w:rsid w:val="00DE705E"/>
    <w:rsid w:val="00DE777D"/>
    <w:rsid w:val="00DE792B"/>
    <w:rsid w:val="00DF1895"/>
    <w:rsid w:val="00DF22B3"/>
    <w:rsid w:val="00DF3B2C"/>
    <w:rsid w:val="00DF4465"/>
    <w:rsid w:val="00DF68F8"/>
    <w:rsid w:val="00DF6D6C"/>
    <w:rsid w:val="00DF73D7"/>
    <w:rsid w:val="00DF74F2"/>
    <w:rsid w:val="00DF7A4D"/>
    <w:rsid w:val="00E0063E"/>
    <w:rsid w:val="00E030F7"/>
    <w:rsid w:val="00E03652"/>
    <w:rsid w:val="00E04568"/>
    <w:rsid w:val="00E05C30"/>
    <w:rsid w:val="00E05D4D"/>
    <w:rsid w:val="00E071FF"/>
    <w:rsid w:val="00E10FC8"/>
    <w:rsid w:val="00E11599"/>
    <w:rsid w:val="00E12211"/>
    <w:rsid w:val="00E1253B"/>
    <w:rsid w:val="00E14E5D"/>
    <w:rsid w:val="00E15228"/>
    <w:rsid w:val="00E16E7D"/>
    <w:rsid w:val="00E175BE"/>
    <w:rsid w:val="00E1792E"/>
    <w:rsid w:val="00E21A7F"/>
    <w:rsid w:val="00E21E3C"/>
    <w:rsid w:val="00E24591"/>
    <w:rsid w:val="00E24965"/>
    <w:rsid w:val="00E24F1D"/>
    <w:rsid w:val="00E251FF"/>
    <w:rsid w:val="00E25BBE"/>
    <w:rsid w:val="00E25D68"/>
    <w:rsid w:val="00E26146"/>
    <w:rsid w:val="00E27344"/>
    <w:rsid w:val="00E30181"/>
    <w:rsid w:val="00E33A0D"/>
    <w:rsid w:val="00E407D7"/>
    <w:rsid w:val="00E4314C"/>
    <w:rsid w:val="00E43EE4"/>
    <w:rsid w:val="00E43F1D"/>
    <w:rsid w:val="00E45673"/>
    <w:rsid w:val="00E4589D"/>
    <w:rsid w:val="00E46EC4"/>
    <w:rsid w:val="00E47001"/>
    <w:rsid w:val="00E60322"/>
    <w:rsid w:val="00E60F6C"/>
    <w:rsid w:val="00E6293D"/>
    <w:rsid w:val="00E64D1A"/>
    <w:rsid w:val="00E6513B"/>
    <w:rsid w:val="00E6563D"/>
    <w:rsid w:val="00E65F8A"/>
    <w:rsid w:val="00E67B8D"/>
    <w:rsid w:val="00E72533"/>
    <w:rsid w:val="00E72B77"/>
    <w:rsid w:val="00E75B0F"/>
    <w:rsid w:val="00E76C97"/>
    <w:rsid w:val="00E808CF"/>
    <w:rsid w:val="00E809E2"/>
    <w:rsid w:val="00E8414D"/>
    <w:rsid w:val="00E84805"/>
    <w:rsid w:val="00E858B6"/>
    <w:rsid w:val="00E8682A"/>
    <w:rsid w:val="00E91482"/>
    <w:rsid w:val="00E925CF"/>
    <w:rsid w:val="00E938D0"/>
    <w:rsid w:val="00EA17FD"/>
    <w:rsid w:val="00EA2C69"/>
    <w:rsid w:val="00EA50C2"/>
    <w:rsid w:val="00EB0778"/>
    <w:rsid w:val="00EB0B9F"/>
    <w:rsid w:val="00EB1473"/>
    <w:rsid w:val="00EB432A"/>
    <w:rsid w:val="00EB68F2"/>
    <w:rsid w:val="00EB7535"/>
    <w:rsid w:val="00EB7A56"/>
    <w:rsid w:val="00EC26D5"/>
    <w:rsid w:val="00EC2AFE"/>
    <w:rsid w:val="00EC2C16"/>
    <w:rsid w:val="00EC2E06"/>
    <w:rsid w:val="00EC35A5"/>
    <w:rsid w:val="00EC4C4E"/>
    <w:rsid w:val="00EC50F8"/>
    <w:rsid w:val="00ED3740"/>
    <w:rsid w:val="00ED501B"/>
    <w:rsid w:val="00ED6CF1"/>
    <w:rsid w:val="00ED7263"/>
    <w:rsid w:val="00ED7593"/>
    <w:rsid w:val="00EE17BF"/>
    <w:rsid w:val="00EE18D2"/>
    <w:rsid w:val="00EE1E16"/>
    <w:rsid w:val="00EE39FB"/>
    <w:rsid w:val="00EE52C6"/>
    <w:rsid w:val="00EE7F57"/>
    <w:rsid w:val="00EF1C1A"/>
    <w:rsid w:val="00EF1E01"/>
    <w:rsid w:val="00EF2961"/>
    <w:rsid w:val="00EF4145"/>
    <w:rsid w:val="00EF5824"/>
    <w:rsid w:val="00EF6D12"/>
    <w:rsid w:val="00EF7D82"/>
    <w:rsid w:val="00F014C9"/>
    <w:rsid w:val="00F019F6"/>
    <w:rsid w:val="00F05756"/>
    <w:rsid w:val="00F05D8F"/>
    <w:rsid w:val="00F05DBF"/>
    <w:rsid w:val="00F06F65"/>
    <w:rsid w:val="00F119F1"/>
    <w:rsid w:val="00F1226B"/>
    <w:rsid w:val="00F12270"/>
    <w:rsid w:val="00F12456"/>
    <w:rsid w:val="00F157A3"/>
    <w:rsid w:val="00F15DFC"/>
    <w:rsid w:val="00F1725E"/>
    <w:rsid w:val="00F213B5"/>
    <w:rsid w:val="00F21EAC"/>
    <w:rsid w:val="00F243EC"/>
    <w:rsid w:val="00F24822"/>
    <w:rsid w:val="00F26F31"/>
    <w:rsid w:val="00F27063"/>
    <w:rsid w:val="00F30F16"/>
    <w:rsid w:val="00F321E9"/>
    <w:rsid w:val="00F34177"/>
    <w:rsid w:val="00F36355"/>
    <w:rsid w:val="00F36B84"/>
    <w:rsid w:val="00F41D50"/>
    <w:rsid w:val="00F42CEB"/>
    <w:rsid w:val="00F43370"/>
    <w:rsid w:val="00F44329"/>
    <w:rsid w:val="00F455C1"/>
    <w:rsid w:val="00F46954"/>
    <w:rsid w:val="00F50CF5"/>
    <w:rsid w:val="00F5183B"/>
    <w:rsid w:val="00F51C8A"/>
    <w:rsid w:val="00F54371"/>
    <w:rsid w:val="00F54F07"/>
    <w:rsid w:val="00F57AF4"/>
    <w:rsid w:val="00F6101C"/>
    <w:rsid w:val="00F61B98"/>
    <w:rsid w:val="00F62352"/>
    <w:rsid w:val="00F62D10"/>
    <w:rsid w:val="00F65A87"/>
    <w:rsid w:val="00F65DF9"/>
    <w:rsid w:val="00F66344"/>
    <w:rsid w:val="00F70234"/>
    <w:rsid w:val="00F71096"/>
    <w:rsid w:val="00F71FFB"/>
    <w:rsid w:val="00F73907"/>
    <w:rsid w:val="00F73C02"/>
    <w:rsid w:val="00F73FA9"/>
    <w:rsid w:val="00F74629"/>
    <w:rsid w:val="00F75993"/>
    <w:rsid w:val="00F77088"/>
    <w:rsid w:val="00F81608"/>
    <w:rsid w:val="00F824C5"/>
    <w:rsid w:val="00F82E45"/>
    <w:rsid w:val="00F8495C"/>
    <w:rsid w:val="00F90428"/>
    <w:rsid w:val="00F9114A"/>
    <w:rsid w:val="00F93F45"/>
    <w:rsid w:val="00F94D0B"/>
    <w:rsid w:val="00F94D1C"/>
    <w:rsid w:val="00F963DB"/>
    <w:rsid w:val="00F966EA"/>
    <w:rsid w:val="00FA1445"/>
    <w:rsid w:val="00FA2755"/>
    <w:rsid w:val="00FA2D4F"/>
    <w:rsid w:val="00FA40AE"/>
    <w:rsid w:val="00FA4F70"/>
    <w:rsid w:val="00FA5CC8"/>
    <w:rsid w:val="00FA6E7C"/>
    <w:rsid w:val="00FB1292"/>
    <w:rsid w:val="00FB147E"/>
    <w:rsid w:val="00FB7CB6"/>
    <w:rsid w:val="00FC1398"/>
    <w:rsid w:val="00FC1A85"/>
    <w:rsid w:val="00FC3D36"/>
    <w:rsid w:val="00FC42FD"/>
    <w:rsid w:val="00FD009D"/>
    <w:rsid w:val="00FD0275"/>
    <w:rsid w:val="00FD0660"/>
    <w:rsid w:val="00FD074D"/>
    <w:rsid w:val="00FD118C"/>
    <w:rsid w:val="00FD3150"/>
    <w:rsid w:val="00FD57C9"/>
    <w:rsid w:val="00FD6315"/>
    <w:rsid w:val="00FD7D94"/>
    <w:rsid w:val="00FE0CA9"/>
    <w:rsid w:val="00FE1CFB"/>
    <w:rsid w:val="00FE1FEE"/>
    <w:rsid w:val="00FE21F7"/>
    <w:rsid w:val="00FE26D7"/>
    <w:rsid w:val="00FE2E69"/>
    <w:rsid w:val="00FE30E8"/>
    <w:rsid w:val="00FE4EF8"/>
    <w:rsid w:val="00FE6525"/>
    <w:rsid w:val="00FE66F6"/>
    <w:rsid w:val="00FE6B48"/>
    <w:rsid w:val="00FE7184"/>
    <w:rsid w:val="00FE7D0F"/>
    <w:rsid w:val="00FF0FF7"/>
    <w:rsid w:val="00FF13F8"/>
    <w:rsid w:val="00FF17E2"/>
    <w:rsid w:val="00FF38B2"/>
    <w:rsid w:val="00FF79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DB9DB"/>
  <w15:docId w15:val="{40B54CF5-17DC-45B7-8E5F-4ADECB9E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2C4"/>
    <w:pPr>
      <w:jc w:val="both"/>
    </w:pPr>
    <w:rPr>
      <w:rFonts w:ascii="Arial" w:hAnsi="Arial"/>
      <w:sz w:val="22"/>
    </w:rPr>
  </w:style>
  <w:style w:type="paragraph" w:styleId="Titre1">
    <w:name w:val="heading 1"/>
    <w:basedOn w:val="Normal"/>
    <w:next w:val="Normal"/>
    <w:qFormat/>
    <w:rsid w:val="006B7E5C"/>
    <w:pPr>
      <w:widowControl w:val="0"/>
      <w:numPr>
        <w:numId w:val="4"/>
      </w:numPr>
      <w:pBdr>
        <w:bottom w:val="single" w:sz="4" w:space="1" w:color="004890"/>
      </w:pBdr>
      <w:spacing w:before="240" w:after="240"/>
      <w:outlineLvl w:val="0"/>
    </w:pPr>
    <w:rPr>
      <w:rFonts w:ascii="Arial Gras" w:hAnsi="Arial Gras"/>
      <w:b/>
      <w:smallCaps/>
      <w:color w:val="808080"/>
      <w:sz w:val="32"/>
    </w:rPr>
  </w:style>
  <w:style w:type="paragraph" w:styleId="Titre2">
    <w:name w:val="heading 2"/>
    <w:basedOn w:val="Normal"/>
    <w:next w:val="Normal"/>
    <w:qFormat/>
    <w:rsid w:val="00DA6BD6"/>
    <w:pPr>
      <w:widowControl w:val="0"/>
      <w:numPr>
        <w:ilvl w:val="1"/>
        <w:numId w:val="4"/>
      </w:numPr>
      <w:tabs>
        <w:tab w:val="left" w:pos="851"/>
      </w:tabs>
      <w:spacing w:before="120" w:after="240"/>
      <w:outlineLvl w:val="1"/>
    </w:pPr>
    <w:rPr>
      <w:b/>
      <w:color w:val="808080"/>
      <w:sz w:val="28"/>
    </w:rPr>
  </w:style>
  <w:style w:type="paragraph" w:styleId="Titre3">
    <w:name w:val="heading 3"/>
    <w:basedOn w:val="Normal"/>
    <w:next w:val="Normal"/>
    <w:qFormat/>
    <w:rsid w:val="00DA6BD6"/>
    <w:pPr>
      <w:widowControl w:val="0"/>
      <w:numPr>
        <w:ilvl w:val="2"/>
        <w:numId w:val="4"/>
      </w:numPr>
      <w:spacing w:before="120" w:after="240"/>
      <w:outlineLvl w:val="2"/>
    </w:pPr>
    <w:rPr>
      <w:rFonts w:ascii="Arial Gras" w:hAnsi="Arial Gras"/>
      <w:b/>
      <w:color w:val="808080"/>
      <w:sz w:val="24"/>
    </w:rPr>
  </w:style>
  <w:style w:type="paragraph" w:styleId="Titre4">
    <w:name w:val="heading 4"/>
    <w:basedOn w:val="Normal"/>
    <w:next w:val="Normal"/>
    <w:link w:val="Titre4Car"/>
    <w:unhideWhenUsed/>
    <w:qFormat/>
    <w:rsid w:val="00386FFF"/>
    <w:pPr>
      <w:keepNext/>
      <w:keepLines/>
      <w:numPr>
        <w:ilvl w:val="3"/>
        <w:numId w:val="4"/>
      </w:numPr>
      <w:spacing w:before="200"/>
      <w:outlineLvl w:val="3"/>
    </w:pPr>
    <w:rPr>
      <w:rFonts w:eastAsiaTheme="majorEastAsia" w:cstheme="majorBidi"/>
      <w:b/>
      <w:bCs/>
      <w:i/>
      <w:iCs/>
      <w:color w:val="4F81BD" w:themeColor="accent1"/>
      <w:sz w:val="24"/>
    </w:rPr>
  </w:style>
  <w:style w:type="paragraph" w:styleId="Titre6">
    <w:name w:val="heading 6"/>
    <w:basedOn w:val="Normal"/>
    <w:next w:val="Normal"/>
    <w:link w:val="Titre6Car"/>
    <w:qFormat/>
    <w:rsid w:val="00537F80"/>
    <w:pPr>
      <w:spacing w:before="240" w:after="60"/>
      <w:jc w:val="left"/>
      <w:outlineLvl w:val="5"/>
    </w:pPr>
    <w:rPr>
      <w:rFonts w:ascii="Times New Roman" w:hAnsi="Times New Roman"/>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386FFF"/>
    <w:rPr>
      <w:rFonts w:ascii="Arial" w:eastAsiaTheme="majorEastAsia" w:hAnsi="Arial" w:cstheme="majorBidi"/>
      <w:b/>
      <w:bCs/>
      <w:i/>
      <w:iCs/>
      <w:color w:val="4F81BD" w:themeColor="accent1"/>
      <w:sz w:val="24"/>
    </w:rPr>
  </w:style>
  <w:style w:type="character" w:customStyle="1" w:styleId="Titre6Car">
    <w:name w:val="Titre 6 Car"/>
    <w:basedOn w:val="Policepardfaut"/>
    <w:link w:val="Titre6"/>
    <w:rsid w:val="00537F80"/>
    <w:rPr>
      <w:b/>
      <w:bCs/>
      <w:sz w:val="22"/>
      <w:szCs w:val="22"/>
    </w:rPr>
  </w:style>
  <w:style w:type="paragraph" w:styleId="Textedebulles">
    <w:name w:val="Balloon Text"/>
    <w:basedOn w:val="Normal"/>
    <w:semiHidden/>
    <w:rsid w:val="006B1290"/>
    <w:rPr>
      <w:rFonts w:ascii="Tahoma" w:hAnsi="Tahoma" w:cs="Tahoma"/>
      <w:sz w:val="16"/>
      <w:szCs w:val="16"/>
    </w:rPr>
  </w:style>
  <w:style w:type="paragraph" w:styleId="Titre">
    <w:name w:val="Title"/>
    <w:basedOn w:val="Normal"/>
    <w:link w:val="TitreCar"/>
    <w:qFormat/>
    <w:rsid w:val="00D61B79"/>
    <w:pPr>
      <w:jc w:val="center"/>
    </w:pPr>
    <w:rPr>
      <w:rFonts w:cs="Arial"/>
      <w:b/>
      <w:bCs/>
      <w:szCs w:val="24"/>
    </w:rPr>
  </w:style>
  <w:style w:type="character" w:customStyle="1" w:styleId="TitreCar">
    <w:name w:val="Titre Car"/>
    <w:basedOn w:val="Policepardfaut"/>
    <w:link w:val="Titre"/>
    <w:rsid w:val="00537F80"/>
    <w:rPr>
      <w:rFonts w:ascii="Arial" w:hAnsi="Arial" w:cs="Arial"/>
      <w:b/>
      <w:bCs/>
      <w:sz w:val="22"/>
      <w:szCs w:val="24"/>
    </w:rPr>
  </w:style>
  <w:style w:type="table" w:styleId="Grilledutableau">
    <w:name w:val="Table Grid"/>
    <w:basedOn w:val="TableauNormal"/>
    <w:rsid w:val="00D61B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D61B79"/>
    <w:pPr>
      <w:tabs>
        <w:tab w:val="center" w:pos="4536"/>
        <w:tab w:val="right" w:pos="9072"/>
      </w:tabs>
    </w:pPr>
  </w:style>
  <w:style w:type="paragraph" w:styleId="Pieddepage">
    <w:name w:val="footer"/>
    <w:basedOn w:val="Normal"/>
    <w:rsid w:val="00D61B79"/>
    <w:pPr>
      <w:tabs>
        <w:tab w:val="center" w:pos="4536"/>
        <w:tab w:val="right" w:pos="9072"/>
      </w:tabs>
    </w:pPr>
  </w:style>
  <w:style w:type="character" w:styleId="Numrodepage">
    <w:name w:val="page number"/>
    <w:basedOn w:val="Policepardfaut"/>
    <w:rsid w:val="00D61B79"/>
  </w:style>
  <w:style w:type="paragraph" w:customStyle="1" w:styleId="TexteAvis">
    <w:name w:val="TexteAvis"/>
    <w:basedOn w:val="Normal"/>
    <w:rsid w:val="00485DD1"/>
    <w:rPr>
      <w:rFonts w:cs="Arial"/>
      <w:szCs w:val="22"/>
    </w:rPr>
  </w:style>
  <w:style w:type="paragraph" w:styleId="Corpsdetexte">
    <w:name w:val="Body Text"/>
    <w:basedOn w:val="Normal"/>
    <w:link w:val="CorpsdetexteCar"/>
    <w:rsid w:val="007F5191"/>
    <w:rPr>
      <w:rFonts w:cs="Arial"/>
      <w:i/>
      <w:iCs/>
      <w:szCs w:val="24"/>
    </w:rPr>
  </w:style>
  <w:style w:type="character" w:customStyle="1" w:styleId="CorpsdetexteCar">
    <w:name w:val="Corps de texte Car"/>
    <w:basedOn w:val="Policepardfaut"/>
    <w:link w:val="Corpsdetexte"/>
    <w:rsid w:val="00DB3512"/>
    <w:rPr>
      <w:rFonts w:ascii="Arial" w:hAnsi="Arial" w:cs="Arial"/>
      <w:i/>
      <w:iCs/>
      <w:sz w:val="22"/>
      <w:szCs w:val="24"/>
    </w:rPr>
  </w:style>
  <w:style w:type="paragraph" w:styleId="Corpsdetexte2">
    <w:name w:val="Body Text 2"/>
    <w:basedOn w:val="Normal"/>
    <w:rsid w:val="009C68E1"/>
    <w:pPr>
      <w:spacing w:after="120" w:line="480" w:lineRule="auto"/>
    </w:pPr>
  </w:style>
  <w:style w:type="paragraph" w:styleId="Commentaire">
    <w:name w:val="annotation text"/>
    <w:basedOn w:val="Normal"/>
    <w:link w:val="CommentaireCar"/>
    <w:semiHidden/>
    <w:rsid w:val="009C68E1"/>
    <w:pPr>
      <w:jc w:val="left"/>
    </w:pPr>
    <w:rPr>
      <w:rFonts w:ascii="Times New Roman" w:hAnsi="Times New Roman"/>
      <w:sz w:val="20"/>
    </w:rPr>
  </w:style>
  <w:style w:type="character" w:customStyle="1" w:styleId="CommentaireCar">
    <w:name w:val="Commentaire Car"/>
    <w:basedOn w:val="Policepardfaut"/>
    <w:link w:val="Commentaire"/>
    <w:semiHidden/>
    <w:rsid w:val="00DB3512"/>
  </w:style>
  <w:style w:type="paragraph" w:customStyle="1" w:styleId="AmmCorpsTexte">
    <w:name w:val="AmmCorpsTexte"/>
    <w:basedOn w:val="Normal"/>
    <w:link w:val="AmmCorpsTexteCar"/>
    <w:rsid w:val="00690F1A"/>
    <w:pPr>
      <w:spacing w:after="120"/>
    </w:pPr>
    <w:rPr>
      <w:rFonts w:cs="Arial"/>
      <w:sz w:val="20"/>
    </w:rPr>
  </w:style>
  <w:style w:type="character" w:customStyle="1" w:styleId="AmmCorpsTexteCar">
    <w:name w:val="AmmCorpsTexte Car"/>
    <w:link w:val="AmmCorpsTexte"/>
    <w:locked/>
    <w:rsid w:val="00690F1A"/>
    <w:rPr>
      <w:rFonts w:ascii="Arial" w:hAnsi="Arial" w:cs="Arial"/>
      <w:lang w:val="fr-FR" w:eastAsia="fr-FR" w:bidi="ar-SA"/>
    </w:rPr>
  </w:style>
  <w:style w:type="paragraph" w:customStyle="1" w:styleId="CTTitre1">
    <w:name w:val="CTTitre1"/>
    <w:basedOn w:val="Titre1"/>
    <w:rsid w:val="00690F1A"/>
    <w:pPr>
      <w:numPr>
        <w:numId w:val="2"/>
      </w:numPr>
      <w:pBdr>
        <w:top w:val="double" w:sz="4" w:space="4" w:color="auto"/>
        <w:left w:val="double" w:sz="4" w:space="4" w:color="auto"/>
        <w:bottom w:val="double" w:sz="4" w:space="4" w:color="auto"/>
        <w:right w:val="double" w:sz="4" w:space="4" w:color="auto"/>
      </w:pBdr>
      <w:spacing w:after="60"/>
      <w:jc w:val="center"/>
    </w:pPr>
    <w:rPr>
      <w:rFonts w:ascii="Arial" w:hAnsi="Arial"/>
      <w:smallCaps w:val="0"/>
      <w:color w:val="auto"/>
      <w:kern w:val="28"/>
      <w:sz w:val="24"/>
    </w:rPr>
  </w:style>
  <w:style w:type="paragraph" w:customStyle="1" w:styleId="CTTitre2">
    <w:name w:val="CTTitre2"/>
    <w:basedOn w:val="Titre2"/>
    <w:rsid w:val="00690F1A"/>
    <w:pPr>
      <w:numPr>
        <w:numId w:val="2"/>
      </w:numPr>
      <w:spacing w:before="240" w:after="60"/>
    </w:pPr>
    <w:rPr>
      <w:color w:val="auto"/>
      <w:sz w:val="22"/>
    </w:rPr>
  </w:style>
  <w:style w:type="paragraph" w:customStyle="1" w:styleId="CTTitre3">
    <w:name w:val="CTTitre3"/>
    <w:basedOn w:val="Titre3"/>
    <w:rsid w:val="00690F1A"/>
    <w:pPr>
      <w:numPr>
        <w:numId w:val="2"/>
      </w:numPr>
      <w:spacing w:after="0"/>
      <w:jc w:val="left"/>
    </w:pPr>
    <w:rPr>
      <w:rFonts w:ascii="Arial" w:hAnsi="Arial"/>
      <w:b w:val="0"/>
      <w:color w:val="auto"/>
      <w:u w:val="single"/>
    </w:rPr>
  </w:style>
  <w:style w:type="paragraph" w:customStyle="1" w:styleId="StyleTitre20ptCouleurpersonnaliseRVB0">
    <w:name w:val="Style Titre + 20 pt Couleur personnalisée(RVB(0"/>
    <w:aliases w:val="51,153)) Ombre P..."/>
    <w:basedOn w:val="Titre"/>
    <w:rsid w:val="002E27BF"/>
    <w:rPr>
      <w:smallCaps/>
      <w:color w:val="003399"/>
      <w:sz w:val="40"/>
      <w14:shadow w14:blurRad="50800" w14:dist="38100" w14:dir="2700000" w14:sx="100000" w14:sy="100000" w14:kx="0" w14:ky="0" w14:algn="tl">
        <w14:srgbClr w14:val="000000">
          <w14:alpha w14:val="60000"/>
        </w14:srgbClr>
      </w14:shadow>
    </w:rPr>
  </w:style>
  <w:style w:type="paragraph" w:customStyle="1" w:styleId="StyleGrasItaliqueGris-50Centr">
    <w:name w:val="Style Gras Italique Gris - 50 % Centré"/>
    <w:basedOn w:val="Normal"/>
    <w:rsid w:val="002E27BF"/>
    <w:pPr>
      <w:jc w:val="center"/>
    </w:pPr>
    <w:rPr>
      <w:b/>
      <w:bCs/>
      <w:i/>
      <w:iCs/>
      <w:color w:val="808080"/>
    </w:rPr>
  </w:style>
  <w:style w:type="paragraph" w:customStyle="1" w:styleId="StyleGras">
    <w:name w:val="Style Gras"/>
    <w:basedOn w:val="Normal"/>
    <w:rsid w:val="007946C7"/>
    <w:pPr>
      <w:shd w:val="clear" w:color="auto" w:fill="E6E6E6"/>
    </w:pPr>
    <w:rPr>
      <w:b/>
      <w:bCs/>
    </w:rPr>
  </w:style>
  <w:style w:type="paragraph" w:customStyle="1" w:styleId="Style9ptNoirAvant3pt">
    <w:name w:val="Style 9 pt Noir Avant : 3 pt"/>
    <w:basedOn w:val="Normal"/>
    <w:rsid w:val="00E30181"/>
    <w:pPr>
      <w:spacing w:before="60"/>
    </w:pPr>
    <w:rPr>
      <w:color w:val="000000"/>
      <w:sz w:val="18"/>
    </w:rPr>
  </w:style>
  <w:style w:type="paragraph" w:customStyle="1" w:styleId="Style9ptGrasNoirGaucheAvant3pt">
    <w:name w:val="Style 9 pt Gras Noir Gauche Avant : 3 pt"/>
    <w:basedOn w:val="Normal"/>
    <w:rsid w:val="00E30181"/>
    <w:pPr>
      <w:spacing w:before="60"/>
      <w:jc w:val="left"/>
    </w:pPr>
    <w:rPr>
      <w:b/>
      <w:bCs/>
      <w:color w:val="000000"/>
      <w:sz w:val="18"/>
    </w:rPr>
  </w:style>
  <w:style w:type="paragraph" w:styleId="Notedebasdepage">
    <w:name w:val="footnote text"/>
    <w:aliases w:val="Car5"/>
    <w:basedOn w:val="Normal"/>
    <w:link w:val="NotedebasdepageCar"/>
    <w:semiHidden/>
    <w:rsid w:val="006222D3"/>
    <w:rPr>
      <w:sz w:val="20"/>
    </w:rPr>
  </w:style>
  <w:style w:type="character" w:customStyle="1" w:styleId="NotedebasdepageCar">
    <w:name w:val="Note de bas de page Car"/>
    <w:aliases w:val="Car5 Car"/>
    <w:basedOn w:val="Policepardfaut"/>
    <w:link w:val="Notedebasdepage"/>
    <w:semiHidden/>
    <w:rsid w:val="00452D9F"/>
    <w:rPr>
      <w:rFonts w:ascii="Arial" w:hAnsi="Arial"/>
    </w:rPr>
  </w:style>
  <w:style w:type="character" w:styleId="Appelnotedebasdep">
    <w:name w:val="footnote reference"/>
    <w:semiHidden/>
    <w:rsid w:val="006222D3"/>
    <w:rPr>
      <w:vertAlign w:val="superscript"/>
    </w:rPr>
  </w:style>
  <w:style w:type="character" w:styleId="Numrodeligne">
    <w:name w:val="line number"/>
    <w:basedOn w:val="Policepardfaut"/>
    <w:rsid w:val="009A6723"/>
  </w:style>
  <w:style w:type="table" w:customStyle="1" w:styleId="AvisCT">
    <w:name w:val="Avis CT"/>
    <w:basedOn w:val="TableauNormal"/>
    <w:rsid w:val="00DD758D"/>
    <w:rPr>
      <w:rFonts w:ascii="Arial" w:hAnsi="Arial"/>
    </w:rPr>
    <w:tblPr>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jc w:val="center"/>
    </w:trPr>
    <w:tblStylePr w:type="firstRow">
      <w:pPr>
        <w:jc w:val="center"/>
      </w:pPr>
      <w:rPr>
        <w:rFonts w:ascii="Arial" w:hAnsi="Arial"/>
        <w:b/>
        <w:color w:val="FFFFFF" w:themeColor="background1"/>
        <w:sz w:val="20"/>
      </w:rPr>
      <w:tblPr/>
      <w:tcPr>
        <w:shd w:val="clear" w:color="auto" w:fill="004890"/>
        <w:vAlign w:val="center"/>
      </w:tcPr>
    </w:tblStylePr>
    <w:tblStylePr w:type="lastRow">
      <w:pPr>
        <w:jc w:val="center"/>
      </w:pPr>
      <w:tblPr/>
      <w:tcPr>
        <w:tcBorders>
          <w:insideH w:val="single" w:sz="8" w:space="0" w:color="auto"/>
          <w:insideV w:val="single" w:sz="8" w:space="0" w:color="auto"/>
        </w:tcBorders>
      </w:tcPr>
    </w:tblStylePr>
    <w:tblStylePr w:type="firstCol">
      <w:pPr>
        <w:jc w:val="left"/>
      </w:pPr>
      <w:rPr>
        <w:rFonts w:ascii="Arial" w:hAnsi="Arial"/>
        <w:b/>
        <w:sz w:val="20"/>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style>
  <w:style w:type="paragraph" w:customStyle="1" w:styleId="Titrepuce">
    <w:name w:val="Titre à puce"/>
    <w:basedOn w:val="Normal"/>
    <w:next w:val="Normal"/>
    <w:qFormat/>
    <w:rsid w:val="003825E8"/>
    <w:pPr>
      <w:numPr>
        <w:numId w:val="3"/>
      </w:numPr>
    </w:pPr>
    <w:rPr>
      <w:rFonts w:cs="Arial"/>
      <w:b/>
      <w:color w:val="004890"/>
      <w:szCs w:val="22"/>
    </w:rPr>
  </w:style>
  <w:style w:type="paragraph" w:styleId="Paragraphedeliste">
    <w:name w:val="List Paragraph"/>
    <w:aliases w:val="_CC_Bullet,Paragraphe de liste1,Bullet1,Section 5,Bullet 1,List Paragraph1"/>
    <w:basedOn w:val="Normal"/>
    <w:link w:val="ParagraphedelisteCar"/>
    <w:uiPriority w:val="34"/>
    <w:qFormat/>
    <w:rsid w:val="00794E7D"/>
    <w:pPr>
      <w:ind w:left="720"/>
      <w:contextualSpacing/>
    </w:pPr>
  </w:style>
  <w:style w:type="character" w:customStyle="1" w:styleId="ParagraphedelisteCar">
    <w:name w:val="Paragraphe de liste Car"/>
    <w:aliases w:val="_CC_Bullet Car,Paragraphe de liste1 Car,Bullet1 Car,Section 5 Car,Bullet 1 Car,List Paragraph1 Car"/>
    <w:basedOn w:val="Policepardfaut"/>
    <w:link w:val="Paragraphedeliste"/>
    <w:uiPriority w:val="34"/>
    <w:rsid w:val="00452D9F"/>
    <w:rPr>
      <w:rFonts w:ascii="Arial" w:hAnsi="Arial"/>
      <w:sz w:val="22"/>
    </w:rPr>
  </w:style>
  <w:style w:type="character" w:styleId="Marquedecommentaire">
    <w:name w:val="annotation reference"/>
    <w:basedOn w:val="Policepardfaut"/>
    <w:rsid w:val="00794E7D"/>
    <w:rPr>
      <w:sz w:val="16"/>
      <w:szCs w:val="16"/>
    </w:rPr>
  </w:style>
  <w:style w:type="paragraph" w:styleId="Objetducommentaire">
    <w:name w:val="annotation subject"/>
    <w:basedOn w:val="Commentaire"/>
    <w:next w:val="Commentaire"/>
    <w:link w:val="ObjetducommentaireCar"/>
    <w:rsid w:val="00794E7D"/>
    <w:pPr>
      <w:jc w:val="both"/>
    </w:pPr>
    <w:rPr>
      <w:rFonts w:ascii="Arial" w:hAnsi="Arial"/>
      <w:b/>
      <w:bCs/>
    </w:rPr>
  </w:style>
  <w:style w:type="character" w:customStyle="1" w:styleId="ObjetducommentaireCar">
    <w:name w:val="Objet du commentaire Car"/>
    <w:basedOn w:val="CommentaireCar"/>
    <w:link w:val="Objetducommentaire"/>
    <w:rsid w:val="00794E7D"/>
    <w:rPr>
      <w:rFonts w:ascii="Arial" w:hAnsi="Arial"/>
      <w:b/>
      <w:bCs/>
    </w:rPr>
  </w:style>
  <w:style w:type="character" w:styleId="Lienhypertexte">
    <w:name w:val="Hyperlink"/>
    <w:basedOn w:val="Policepardfaut"/>
    <w:uiPriority w:val="99"/>
    <w:unhideWhenUsed/>
    <w:rsid w:val="00BB17DF"/>
    <w:rPr>
      <w:color w:val="0000FF"/>
      <w:u w:val="single"/>
    </w:rPr>
  </w:style>
  <w:style w:type="paragraph" w:styleId="Notedefin">
    <w:name w:val="endnote text"/>
    <w:basedOn w:val="Normal"/>
    <w:link w:val="NotedefinCar"/>
    <w:rsid w:val="00DA7AEE"/>
    <w:rPr>
      <w:sz w:val="20"/>
    </w:rPr>
  </w:style>
  <w:style w:type="character" w:customStyle="1" w:styleId="NotedefinCar">
    <w:name w:val="Note de fin Car"/>
    <w:basedOn w:val="Policepardfaut"/>
    <w:link w:val="Notedefin"/>
    <w:rsid w:val="00DA7AEE"/>
    <w:rPr>
      <w:rFonts w:ascii="Arial" w:hAnsi="Arial"/>
    </w:rPr>
  </w:style>
  <w:style w:type="paragraph" w:styleId="TM1">
    <w:name w:val="toc 1"/>
    <w:basedOn w:val="Normal"/>
    <w:next w:val="Normal"/>
    <w:autoRedefine/>
    <w:uiPriority w:val="39"/>
    <w:rsid w:val="00537F80"/>
  </w:style>
  <w:style w:type="paragraph" w:styleId="TM2">
    <w:name w:val="toc 2"/>
    <w:basedOn w:val="Normal"/>
    <w:next w:val="Normal"/>
    <w:autoRedefine/>
    <w:uiPriority w:val="39"/>
    <w:rsid w:val="00537F80"/>
    <w:pPr>
      <w:ind w:left="220"/>
    </w:pPr>
  </w:style>
  <w:style w:type="paragraph" w:styleId="En-ttedetabledesmatires">
    <w:name w:val="TOC Heading"/>
    <w:basedOn w:val="Titre1"/>
    <w:next w:val="Normal"/>
    <w:uiPriority w:val="39"/>
    <w:semiHidden/>
    <w:unhideWhenUsed/>
    <w:qFormat/>
    <w:rsid w:val="00537F80"/>
    <w:pPr>
      <w:keepNext/>
      <w:keepLines/>
      <w:widowControl/>
      <w:numPr>
        <w:numId w:val="0"/>
      </w:numPr>
      <w:pBdr>
        <w:bottom w:val="none" w:sz="0" w:space="0" w:color="auto"/>
      </w:pBdr>
      <w:spacing w:before="480" w:after="0" w:line="276" w:lineRule="auto"/>
      <w:jc w:val="left"/>
      <w:outlineLvl w:val="9"/>
    </w:pPr>
    <w:rPr>
      <w:rFonts w:ascii="Cambria" w:hAnsi="Cambria"/>
      <w:bCs/>
      <w:smallCaps w:val="0"/>
      <w:color w:val="365F91"/>
      <w:sz w:val="28"/>
      <w:szCs w:val="28"/>
    </w:rPr>
  </w:style>
  <w:style w:type="character" w:styleId="Accentuation">
    <w:name w:val="Emphasis"/>
    <w:basedOn w:val="Policepardfaut"/>
    <w:qFormat/>
    <w:rsid w:val="00537F80"/>
    <w:rPr>
      <w:i/>
      <w:iCs/>
    </w:rPr>
  </w:style>
  <w:style w:type="paragraph" w:customStyle="1" w:styleId="Sous-titre1">
    <w:name w:val="Sous-titre1"/>
    <w:basedOn w:val="Normal"/>
    <w:next w:val="Normal"/>
    <w:qFormat/>
    <w:rsid w:val="00537F80"/>
    <w:pPr>
      <w:numPr>
        <w:ilvl w:val="1"/>
      </w:numPr>
      <w:spacing w:after="160"/>
    </w:pPr>
    <w:rPr>
      <w:rFonts w:ascii="Calibri" w:hAnsi="Calibri"/>
      <w:color w:val="5A5A5A"/>
      <w:spacing w:val="15"/>
      <w:szCs w:val="22"/>
    </w:rPr>
  </w:style>
  <w:style w:type="character" w:customStyle="1" w:styleId="Sous-titreCar">
    <w:name w:val="Sous-titre Car"/>
    <w:basedOn w:val="Policepardfaut"/>
    <w:link w:val="Sous-titre"/>
    <w:rsid w:val="00537F80"/>
    <w:rPr>
      <w:rFonts w:ascii="Calibri" w:eastAsia="Times New Roman" w:hAnsi="Calibri" w:cs="Times New Roman"/>
      <w:color w:val="5A5A5A"/>
      <w:spacing w:val="15"/>
      <w:sz w:val="22"/>
      <w:szCs w:val="22"/>
    </w:rPr>
  </w:style>
  <w:style w:type="paragraph" w:styleId="Sous-titre">
    <w:name w:val="Subtitle"/>
    <w:basedOn w:val="Normal"/>
    <w:next w:val="Normal"/>
    <w:link w:val="Sous-titreCar"/>
    <w:qFormat/>
    <w:rsid w:val="00537F80"/>
    <w:pPr>
      <w:numPr>
        <w:ilvl w:val="1"/>
      </w:numPr>
    </w:pPr>
    <w:rPr>
      <w:rFonts w:ascii="Calibri" w:hAnsi="Calibri"/>
      <w:color w:val="5A5A5A"/>
      <w:spacing w:val="15"/>
      <w:szCs w:val="22"/>
    </w:rPr>
  </w:style>
  <w:style w:type="character" w:customStyle="1" w:styleId="highlight">
    <w:name w:val="highlight"/>
    <w:basedOn w:val="Policepardfaut"/>
    <w:rsid w:val="00537F80"/>
  </w:style>
  <w:style w:type="character" w:styleId="Appeldenotedefin">
    <w:name w:val="endnote reference"/>
    <w:basedOn w:val="Policepardfaut"/>
    <w:rsid w:val="00537F80"/>
    <w:rPr>
      <w:vertAlign w:val="superscript"/>
    </w:rPr>
  </w:style>
  <w:style w:type="character" w:customStyle="1" w:styleId="Lienhypertextesuivivisit1">
    <w:name w:val="Lien hypertexte suivi visité1"/>
    <w:basedOn w:val="Policepardfaut"/>
    <w:rsid w:val="00537F80"/>
    <w:rPr>
      <w:color w:val="954F72"/>
      <w:u w:val="single"/>
    </w:rPr>
  </w:style>
  <w:style w:type="character" w:styleId="Lienhypertextesuivivisit">
    <w:name w:val="FollowedHyperlink"/>
    <w:basedOn w:val="Policepardfaut"/>
    <w:rsid w:val="00537F80"/>
    <w:rPr>
      <w:color w:val="800080" w:themeColor="followedHyperlink"/>
      <w:u w:val="single"/>
    </w:rPr>
  </w:style>
  <w:style w:type="paragraph" w:customStyle="1" w:styleId="Lgende1">
    <w:name w:val="Légende1"/>
    <w:basedOn w:val="Normal"/>
    <w:next w:val="Normal"/>
    <w:unhideWhenUsed/>
    <w:qFormat/>
    <w:rsid w:val="00537F80"/>
    <w:pPr>
      <w:spacing w:after="200"/>
    </w:pPr>
    <w:rPr>
      <w:i/>
      <w:iCs/>
      <w:color w:val="44546A"/>
      <w:sz w:val="18"/>
      <w:szCs w:val="18"/>
    </w:rPr>
  </w:style>
  <w:style w:type="paragraph" w:styleId="PrformatHTML">
    <w:name w:val="HTML Preformatted"/>
    <w:basedOn w:val="Normal"/>
    <w:link w:val="PrformatHTMLCar"/>
    <w:uiPriority w:val="99"/>
    <w:unhideWhenUsed/>
    <w:rsid w:val="00537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537F80"/>
    <w:rPr>
      <w:rFonts w:ascii="Courier New" w:hAnsi="Courier New" w:cs="Courier New"/>
    </w:rPr>
  </w:style>
  <w:style w:type="character" w:customStyle="1" w:styleId="lang-en">
    <w:name w:val="lang-en"/>
    <w:basedOn w:val="Policepardfaut"/>
    <w:rsid w:val="00537F80"/>
  </w:style>
  <w:style w:type="paragraph" w:customStyle="1" w:styleId="Default">
    <w:name w:val="Default"/>
    <w:rsid w:val="00537F80"/>
    <w:pPr>
      <w:autoSpaceDE w:val="0"/>
      <w:autoSpaceDN w:val="0"/>
      <w:adjustRightInd w:val="0"/>
    </w:pPr>
    <w:rPr>
      <w:color w:val="000000"/>
      <w:sz w:val="24"/>
      <w:szCs w:val="24"/>
    </w:rPr>
  </w:style>
  <w:style w:type="paragraph" w:styleId="NormalWeb">
    <w:name w:val="Normal (Web)"/>
    <w:basedOn w:val="Normal"/>
    <w:uiPriority w:val="99"/>
    <w:unhideWhenUsed/>
    <w:rsid w:val="00537F80"/>
    <w:pPr>
      <w:spacing w:before="100" w:beforeAutospacing="1" w:after="100" w:afterAutospacing="1"/>
      <w:jc w:val="left"/>
    </w:pPr>
    <w:rPr>
      <w:rFonts w:ascii="Times New Roman" w:hAnsi="Times New Roman"/>
      <w:sz w:val="24"/>
      <w:szCs w:val="24"/>
    </w:rPr>
  </w:style>
  <w:style w:type="paragraph" w:styleId="TM3">
    <w:name w:val="toc 3"/>
    <w:basedOn w:val="Normal"/>
    <w:next w:val="Normal"/>
    <w:autoRedefine/>
    <w:uiPriority w:val="39"/>
    <w:rsid w:val="00537F80"/>
    <w:pPr>
      <w:spacing w:after="100"/>
      <w:ind w:left="440"/>
    </w:pPr>
  </w:style>
  <w:style w:type="paragraph" w:styleId="Tabledesillustrations">
    <w:name w:val="table of figures"/>
    <w:basedOn w:val="Normal"/>
    <w:next w:val="Normal"/>
    <w:uiPriority w:val="99"/>
    <w:rsid w:val="00537F80"/>
  </w:style>
  <w:style w:type="paragraph" w:customStyle="1" w:styleId="AmmAnnexeTitre4">
    <w:name w:val="AmmAnnexeTitre4"/>
    <w:basedOn w:val="AmmCorpsTexte"/>
    <w:next w:val="AmmCorpsTexte"/>
    <w:rsid w:val="00537F80"/>
    <w:rPr>
      <w:rFonts w:cs="Times New Roman"/>
      <w:i/>
      <w:u w:val="single"/>
    </w:rPr>
  </w:style>
  <w:style w:type="character" w:customStyle="1" w:styleId="Sous-titreCar1">
    <w:name w:val="Sous-titre Car1"/>
    <w:basedOn w:val="Policepardfaut"/>
    <w:rsid w:val="00537F80"/>
    <w:rPr>
      <w:rFonts w:asciiTheme="majorHAnsi" w:eastAsiaTheme="majorEastAsia" w:hAnsiTheme="majorHAnsi" w:cstheme="majorBidi"/>
      <w:i/>
      <w:iCs/>
      <w:color w:val="4F81BD" w:themeColor="accent1"/>
      <w:spacing w:val="15"/>
      <w:sz w:val="24"/>
      <w:szCs w:val="24"/>
    </w:rPr>
  </w:style>
  <w:style w:type="paragraph" w:customStyle="1" w:styleId="ammannexetitre3">
    <w:name w:val="ammannexetitre3"/>
    <w:basedOn w:val="Normal"/>
    <w:rsid w:val="00435C7E"/>
    <w:pPr>
      <w:spacing w:before="100" w:beforeAutospacing="1" w:after="100" w:afterAutospacing="1"/>
      <w:jc w:val="left"/>
    </w:pPr>
    <w:rPr>
      <w:rFonts w:cs="Arial"/>
      <w:b/>
      <w:bCs/>
      <w:color w:val="000000"/>
      <w:sz w:val="24"/>
      <w:szCs w:val="24"/>
      <w:u w:val="single"/>
    </w:rPr>
  </w:style>
  <w:style w:type="paragraph" w:customStyle="1" w:styleId="ammlistepuces1">
    <w:name w:val="ammlistepuces1"/>
    <w:basedOn w:val="Normal"/>
    <w:rsid w:val="00435C7E"/>
    <w:pPr>
      <w:spacing w:before="100" w:beforeAutospacing="1" w:after="100" w:afterAutospacing="1"/>
      <w:jc w:val="left"/>
    </w:pPr>
    <w:rPr>
      <w:rFonts w:cs="Arial"/>
      <w:sz w:val="24"/>
      <w:szCs w:val="24"/>
    </w:rPr>
  </w:style>
  <w:style w:type="paragraph" w:customStyle="1" w:styleId="ammannexetitre2">
    <w:name w:val="ammannexetitre2"/>
    <w:basedOn w:val="Normal"/>
    <w:rsid w:val="00435C7E"/>
    <w:pPr>
      <w:spacing w:before="100" w:beforeAutospacing="1" w:after="100" w:afterAutospacing="1"/>
      <w:jc w:val="left"/>
    </w:pPr>
    <w:rPr>
      <w:rFonts w:cs="Arial"/>
      <w:b/>
      <w:bCs/>
      <w:color w:val="0000A0"/>
      <w:sz w:val="24"/>
      <w:szCs w:val="24"/>
    </w:rPr>
  </w:style>
  <w:style w:type="paragraph" w:customStyle="1" w:styleId="ammcorpstexte0">
    <w:name w:val="ammcorpstexte"/>
    <w:basedOn w:val="Normal"/>
    <w:rsid w:val="00435C7E"/>
    <w:pPr>
      <w:jc w:val="left"/>
    </w:pPr>
    <w:rPr>
      <w:rFonts w:cs="Arial"/>
      <w:color w:val="000000"/>
      <w:sz w:val="24"/>
      <w:szCs w:val="24"/>
    </w:rPr>
  </w:style>
  <w:style w:type="character" w:customStyle="1" w:styleId="En-tteCar">
    <w:name w:val="En-tête Car"/>
    <w:basedOn w:val="Policepardfaut"/>
    <w:link w:val="En-tte"/>
    <w:rsid w:val="00AE6C8E"/>
    <w:rPr>
      <w:rFonts w:ascii="Arial" w:hAnsi="Arial"/>
      <w:sz w:val="22"/>
    </w:rPr>
  </w:style>
  <w:style w:type="paragraph" w:customStyle="1" w:styleId="TexteTableau">
    <w:name w:val="TexteTableau"/>
    <w:basedOn w:val="Corpsdetexte"/>
    <w:link w:val="TexteTableauCar"/>
    <w:rsid w:val="006F7B2A"/>
    <w:pPr>
      <w:spacing w:after="120"/>
    </w:pPr>
    <w:rPr>
      <w:rFonts w:cs="Times New Roman"/>
      <w:i w:val="0"/>
      <w:iCs w:val="0"/>
      <w:sz w:val="18"/>
      <w:szCs w:val="20"/>
      <w:lang w:val="x-none" w:eastAsia="x-none"/>
    </w:rPr>
  </w:style>
  <w:style w:type="character" w:customStyle="1" w:styleId="TexteTableauCar">
    <w:name w:val="TexteTableau Car"/>
    <w:link w:val="TexteTableau"/>
    <w:locked/>
    <w:rsid w:val="006F7B2A"/>
    <w:rPr>
      <w:rFonts w:ascii="Arial" w:hAnsi="Arial"/>
      <w:sz w:val="18"/>
      <w:lang w:val="x-none" w:eastAsia="x-none"/>
    </w:rPr>
  </w:style>
  <w:style w:type="paragraph" w:customStyle="1" w:styleId="TableParagraph">
    <w:name w:val="Table Paragraph"/>
    <w:basedOn w:val="Normal"/>
    <w:uiPriority w:val="1"/>
    <w:qFormat/>
    <w:rsid w:val="006F7B2A"/>
    <w:pPr>
      <w:widowControl w:val="0"/>
      <w:autoSpaceDE w:val="0"/>
      <w:autoSpaceDN w:val="0"/>
      <w:adjustRightInd w:val="0"/>
      <w:jc w:val="left"/>
    </w:pPr>
    <w:rPr>
      <w:rFonts w:ascii="Times New Roman" w:eastAsiaTheme="minorEastAsia" w:hAnsi="Times New Roman"/>
      <w:sz w:val="24"/>
      <w:szCs w:val="24"/>
    </w:rPr>
  </w:style>
  <w:style w:type="character" w:customStyle="1" w:styleId="title-text">
    <w:name w:val="title-text"/>
    <w:basedOn w:val="Policepardfaut"/>
    <w:rsid w:val="00D0110B"/>
  </w:style>
  <w:style w:type="character" w:customStyle="1" w:styleId="Mentionnonrsolue1">
    <w:name w:val="Mention non résolue1"/>
    <w:basedOn w:val="Policepardfaut"/>
    <w:uiPriority w:val="99"/>
    <w:semiHidden/>
    <w:unhideWhenUsed/>
    <w:rsid w:val="000A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702">
      <w:bodyDiv w:val="1"/>
      <w:marLeft w:val="0"/>
      <w:marRight w:val="0"/>
      <w:marTop w:val="0"/>
      <w:marBottom w:val="0"/>
      <w:divBdr>
        <w:top w:val="none" w:sz="0" w:space="0" w:color="auto"/>
        <w:left w:val="none" w:sz="0" w:space="0" w:color="auto"/>
        <w:bottom w:val="none" w:sz="0" w:space="0" w:color="auto"/>
        <w:right w:val="none" w:sz="0" w:space="0" w:color="auto"/>
      </w:divBdr>
    </w:div>
    <w:div w:id="132911204">
      <w:bodyDiv w:val="1"/>
      <w:marLeft w:val="0"/>
      <w:marRight w:val="0"/>
      <w:marTop w:val="0"/>
      <w:marBottom w:val="0"/>
      <w:divBdr>
        <w:top w:val="none" w:sz="0" w:space="0" w:color="auto"/>
        <w:left w:val="none" w:sz="0" w:space="0" w:color="auto"/>
        <w:bottom w:val="none" w:sz="0" w:space="0" w:color="auto"/>
        <w:right w:val="none" w:sz="0" w:space="0" w:color="auto"/>
      </w:divBdr>
    </w:div>
    <w:div w:id="209466787">
      <w:bodyDiv w:val="1"/>
      <w:marLeft w:val="0"/>
      <w:marRight w:val="0"/>
      <w:marTop w:val="0"/>
      <w:marBottom w:val="0"/>
      <w:divBdr>
        <w:top w:val="none" w:sz="0" w:space="0" w:color="auto"/>
        <w:left w:val="none" w:sz="0" w:space="0" w:color="auto"/>
        <w:bottom w:val="none" w:sz="0" w:space="0" w:color="auto"/>
        <w:right w:val="none" w:sz="0" w:space="0" w:color="auto"/>
      </w:divBdr>
    </w:div>
    <w:div w:id="329796309">
      <w:bodyDiv w:val="1"/>
      <w:marLeft w:val="0"/>
      <w:marRight w:val="0"/>
      <w:marTop w:val="0"/>
      <w:marBottom w:val="0"/>
      <w:divBdr>
        <w:top w:val="none" w:sz="0" w:space="0" w:color="auto"/>
        <w:left w:val="none" w:sz="0" w:space="0" w:color="auto"/>
        <w:bottom w:val="none" w:sz="0" w:space="0" w:color="auto"/>
        <w:right w:val="none" w:sz="0" w:space="0" w:color="auto"/>
      </w:divBdr>
    </w:div>
    <w:div w:id="380910457">
      <w:bodyDiv w:val="1"/>
      <w:marLeft w:val="0"/>
      <w:marRight w:val="0"/>
      <w:marTop w:val="0"/>
      <w:marBottom w:val="0"/>
      <w:divBdr>
        <w:top w:val="none" w:sz="0" w:space="0" w:color="auto"/>
        <w:left w:val="none" w:sz="0" w:space="0" w:color="auto"/>
        <w:bottom w:val="none" w:sz="0" w:space="0" w:color="auto"/>
        <w:right w:val="none" w:sz="0" w:space="0" w:color="auto"/>
      </w:divBdr>
    </w:div>
    <w:div w:id="436023310">
      <w:bodyDiv w:val="1"/>
      <w:marLeft w:val="0"/>
      <w:marRight w:val="0"/>
      <w:marTop w:val="0"/>
      <w:marBottom w:val="0"/>
      <w:divBdr>
        <w:top w:val="none" w:sz="0" w:space="0" w:color="auto"/>
        <w:left w:val="none" w:sz="0" w:space="0" w:color="auto"/>
        <w:bottom w:val="none" w:sz="0" w:space="0" w:color="auto"/>
        <w:right w:val="none" w:sz="0" w:space="0" w:color="auto"/>
      </w:divBdr>
    </w:div>
    <w:div w:id="478041592">
      <w:bodyDiv w:val="1"/>
      <w:marLeft w:val="0"/>
      <w:marRight w:val="0"/>
      <w:marTop w:val="0"/>
      <w:marBottom w:val="0"/>
      <w:divBdr>
        <w:top w:val="none" w:sz="0" w:space="0" w:color="auto"/>
        <w:left w:val="none" w:sz="0" w:space="0" w:color="auto"/>
        <w:bottom w:val="none" w:sz="0" w:space="0" w:color="auto"/>
        <w:right w:val="none" w:sz="0" w:space="0" w:color="auto"/>
      </w:divBdr>
      <w:divsChild>
        <w:div w:id="156312579">
          <w:marLeft w:val="446"/>
          <w:marRight w:val="0"/>
          <w:marTop w:val="0"/>
          <w:marBottom w:val="160"/>
          <w:divBdr>
            <w:top w:val="none" w:sz="0" w:space="0" w:color="auto"/>
            <w:left w:val="none" w:sz="0" w:space="0" w:color="auto"/>
            <w:bottom w:val="none" w:sz="0" w:space="0" w:color="auto"/>
            <w:right w:val="none" w:sz="0" w:space="0" w:color="auto"/>
          </w:divBdr>
        </w:div>
        <w:div w:id="556206527">
          <w:marLeft w:val="446"/>
          <w:marRight w:val="0"/>
          <w:marTop w:val="0"/>
          <w:marBottom w:val="160"/>
          <w:divBdr>
            <w:top w:val="none" w:sz="0" w:space="0" w:color="auto"/>
            <w:left w:val="none" w:sz="0" w:space="0" w:color="auto"/>
            <w:bottom w:val="none" w:sz="0" w:space="0" w:color="auto"/>
            <w:right w:val="none" w:sz="0" w:space="0" w:color="auto"/>
          </w:divBdr>
        </w:div>
      </w:divsChild>
    </w:div>
    <w:div w:id="498425157">
      <w:bodyDiv w:val="1"/>
      <w:marLeft w:val="0"/>
      <w:marRight w:val="0"/>
      <w:marTop w:val="0"/>
      <w:marBottom w:val="0"/>
      <w:divBdr>
        <w:top w:val="none" w:sz="0" w:space="0" w:color="auto"/>
        <w:left w:val="none" w:sz="0" w:space="0" w:color="auto"/>
        <w:bottom w:val="none" w:sz="0" w:space="0" w:color="auto"/>
        <w:right w:val="none" w:sz="0" w:space="0" w:color="auto"/>
      </w:divBdr>
      <w:divsChild>
        <w:div w:id="132254508">
          <w:marLeft w:val="446"/>
          <w:marRight w:val="0"/>
          <w:marTop w:val="0"/>
          <w:marBottom w:val="160"/>
          <w:divBdr>
            <w:top w:val="none" w:sz="0" w:space="0" w:color="auto"/>
            <w:left w:val="none" w:sz="0" w:space="0" w:color="auto"/>
            <w:bottom w:val="none" w:sz="0" w:space="0" w:color="auto"/>
            <w:right w:val="none" w:sz="0" w:space="0" w:color="auto"/>
          </w:divBdr>
        </w:div>
        <w:div w:id="641156675">
          <w:marLeft w:val="446"/>
          <w:marRight w:val="0"/>
          <w:marTop w:val="0"/>
          <w:marBottom w:val="160"/>
          <w:divBdr>
            <w:top w:val="none" w:sz="0" w:space="0" w:color="auto"/>
            <w:left w:val="none" w:sz="0" w:space="0" w:color="auto"/>
            <w:bottom w:val="none" w:sz="0" w:space="0" w:color="auto"/>
            <w:right w:val="none" w:sz="0" w:space="0" w:color="auto"/>
          </w:divBdr>
        </w:div>
        <w:div w:id="1171723221">
          <w:marLeft w:val="446"/>
          <w:marRight w:val="0"/>
          <w:marTop w:val="0"/>
          <w:marBottom w:val="160"/>
          <w:divBdr>
            <w:top w:val="none" w:sz="0" w:space="0" w:color="auto"/>
            <w:left w:val="none" w:sz="0" w:space="0" w:color="auto"/>
            <w:bottom w:val="none" w:sz="0" w:space="0" w:color="auto"/>
            <w:right w:val="none" w:sz="0" w:space="0" w:color="auto"/>
          </w:divBdr>
        </w:div>
      </w:divsChild>
    </w:div>
    <w:div w:id="543057497">
      <w:bodyDiv w:val="1"/>
      <w:marLeft w:val="0"/>
      <w:marRight w:val="0"/>
      <w:marTop w:val="0"/>
      <w:marBottom w:val="0"/>
      <w:divBdr>
        <w:top w:val="none" w:sz="0" w:space="0" w:color="auto"/>
        <w:left w:val="none" w:sz="0" w:space="0" w:color="auto"/>
        <w:bottom w:val="none" w:sz="0" w:space="0" w:color="auto"/>
        <w:right w:val="none" w:sz="0" w:space="0" w:color="auto"/>
      </w:divBdr>
    </w:div>
    <w:div w:id="569774436">
      <w:bodyDiv w:val="1"/>
      <w:marLeft w:val="0"/>
      <w:marRight w:val="0"/>
      <w:marTop w:val="0"/>
      <w:marBottom w:val="0"/>
      <w:divBdr>
        <w:top w:val="none" w:sz="0" w:space="0" w:color="auto"/>
        <w:left w:val="none" w:sz="0" w:space="0" w:color="auto"/>
        <w:bottom w:val="none" w:sz="0" w:space="0" w:color="auto"/>
        <w:right w:val="none" w:sz="0" w:space="0" w:color="auto"/>
      </w:divBdr>
    </w:div>
    <w:div w:id="653338650">
      <w:bodyDiv w:val="1"/>
      <w:marLeft w:val="0"/>
      <w:marRight w:val="0"/>
      <w:marTop w:val="0"/>
      <w:marBottom w:val="0"/>
      <w:divBdr>
        <w:top w:val="none" w:sz="0" w:space="0" w:color="auto"/>
        <w:left w:val="none" w:sz="0" w:space="0" w:color="auto"/>
        <w:bottom w:val="none" w:sz="0" w:space="0" w:color="auto"/>
        <w:right w:val="none" w:sz="0" w:space="0" w:color="auto"/>
      </w:divBdr>
    </w:div>
    <w:div w:id="670257372">
      <w:bodyDiv w:val="1"/>
      <w:marLeft w:val="0"/>
      <w:marRight w:val="0"/>
      <w:marTop w:val="0"/>
      <w:marBottom w:val="0"/>
      <w:divBdr>
        <w:top w:val="none" w:sz="0" w:space="0" w:color="auto"/>
        <w:left w:val="none" w:sz="0" w:space="0" w:color="auto"/>
        <w:bottom w:val="none" w:sz="0" w:space="0" w:color="auto"/>
        <w:right w:val="none" w:sz="0" w:space="0" w:color="auto"/>
      </w:divBdr>
    </w:div>
    <w:div w:id="714281921">
      <w:bodyDiv w:val="1"/>
      <w:marLeft w:val="0"/>
      <w:marRight w:val="0"/>
      <w:marTop w:val="0"/>
      <w:marBottom w:val="0"/>
      <w:divBdr>
        <w:top w:val="none" w:sz="0" w:space="0" w:color="auto"/>
        <w:left w:val="none" w:sz="0" w:space="0" w:color="auto"/>
        <w:bottom w:val="none" w:sz="0" w:space="0" w:color="auto"/>
        <w:right w:val="none" w:sz="0" w:space="0" w:color="auto"/>
      </w:divBdr>
    </w:div>
    <w:div w:id="735511159">
      <w:bodyDiv w:val="1"/>
      <w:marLeft w:val="0"/>
      <w:marRight w:val="0"/>
      <w:marTop w:val="0"/>
      <w:marBottom w:val="0"/>
      <w:divBdr>
        <w:top w:val="none" w:sz="0" w:space="0" w:color="auto"/>
        <w:left w:val="none" w:sz="0" w:space="0" w:color="auto"/>
        <w:bottom w:val="none" w:sz="0" w:space="0" w:color="auto"/>
        <w:right w:val="none" w:sz="0" w:space="0" w:color="auto"/>
      </w:divBdr>
    </w:div>
    <w:div w:id="790780366">
      <w:bodyDiv w:val="1"/>
      <w:marLeft w:val="0"/>
      <w:marRight w:val="0"/>
      <w:marTop w:val="0"/>
      <w:marBottom w:val="0"/>
      <w:divBdr>
        <w:top w:val="none" w:sz="0" w:space="0" w:color="auto"/>
        <w:left w:val="none" w:sz="0" w:space="0" w:color="auto"/>
        <w:bottom w:val="none" w:sz="0" w:space="0" w:color="auto"/>
        <w:right w:val="none" w:sz="0" w:space="0" w:color="auto"/>
      </w:divBdr>
    </w:div>
    <w:div w:id="849948069">
      <w:bodyDiv w:val="1"/>
      <w:marLeft w:val="0"/>
      <w:marRight w:val="0"/>
      <w:marTop w:val="0"/>
      <w:marBottom w:val="0"/>
      <w:divBdr>
        <w:top w:val="none" w:sz="0" w:space="0" w:color="auto"/>
        <w:left w:val="none" w:sz="0" w:space="0" w:color="auto"/>
        <w:bottom w:val="none" w:sz="0" w:space="0" w:color="auto"/>
        <w:right w:val="none" w:sz="0" w:space="0" w:color="auto"/>
      </w:divBdr>
    </w:div>
    <w:div w:id="885025981">
      <w:bodyDiv w:val="1"/>
      <w:marLeft w:val="0"/>
      <w:marRight w:val="0"/>
      <w:marTop w:val="0"/>
      <w:marBottom w:val="0"/>
      <w:divBdr>
        <w:top w:val="none" w:sz="0" w:space="0" w:color="auto"/>
        <w:left w:val="none" w:sz="0" w:space="0" w:color="auto"/>
        <w:bottom w:val="none" w:sz="0" w:space="0" w:color="auto"/>
        <w:right w:val="none" w:sz="0" w:space="0" w:color="auto"/>
      </w:divBdr>
    </w:div>
    <w:div w:id="913199890">
      <w:bodyDiv w:val="1"/>
      <w:marLeft w:val="0"/>
      <w:marRight w:val="0"/>
      <w:marTop w:val="0"/>
      <w:marBottom w:val="0"/>
      <w:divBdr>
        <w:top w:val="none" w:sz="0" w:space="0" w:color="auto"/>
        <w:left w:val="none" w:sz="0" w:space="0" w:color="auto"/>
        <w:bottom w:val="none" w:sz="0" w:space="0" w:color="auto"/>
        <w:right w:val="none" w:sz="0" w:space="0" w:color="auto"/>
      </w:divBdr>
    </w:div>
    <w:div w:id="1154834388">
      <w:bodyDiv w:val="1"/>
      <w:marLeft w:val="0"/>
      <w:marRight w:val="0"/>
      <w:marTop w:val="0"/>
      <w:marBottom w:val="0"/>
      <w:divBdr>
        <w:top w:val="none" w:sz="0" w:space="0" w:color="auto"/>
        <w:left w:val="none" w:sz="0" w:space="0" w:color="auto"/>
        <w:bottom w:val="none" w:sz="0" w:space="0" w:color="auto"/>
        <w:right w:val="none" w:sz="0" w:space="0" w:color="auto"/>
      </w:divBdr>
    </w:div>
    <w:div w:id="1249342776">
      <w:bodyDiv w:val="1"/>
      <w:marLeft w:val="0"/>
      <w:marRight w:val="0"/>
      <w:marTop w:val="0"/>
      <w:marBottom w:val="0"/>
      <w:divBdr>
        <w:top w:val="none" w:sz="0" w:space="0" w:color="auto"/>
        <w:left w:val="none" w:sz="0" w:space="0" w:color="auto"/>
        <w:bottom w:val="none" w:sz="0" w:space="0" w:color="auto"/>
        <w:right w:val="none" w:sz="0" w:space="0" w:color="auto"/>
      </w:divBdr>
    </w:div>
    <w:div w:id="1313681923">
      <w:bodyDiv w:val="1"/>
      <w:marLeft w:val="0"/>
      <w:marRight w:val="0"/>
      <w:marTop w:val="0"/>
      <w:marBottom w:val="0"/>
      <w:divBdr>
        <w:top w:val="none" w:sz="0" w:space="0" w:color="auto"/>
        <w:left w:val="none" w:sz="0" w:space="0" w:color="auto"/>
        <w:bottom w:val="none" w:sz="0" w:space="0" w:color="auto"/>
        <w:right w:val="none" w:sz="0" w:space="0" w:color="auto"/>
      </w:divBdr>
    </w:div>
    <w:div w:id="1399741748">
      <w:bodyDiv w:val="1"/>
      <w:marLeft w:val="0"/>
      <w:marRight w:val="0"/>
      <w:marTop w:val="0"/>
      <w:marBottom w:val="0"/>
      <w:divBdr>
        <w:top w:val="none" w:sz="0" w:space="0" w:color="auto"/>
        <w:left w:val="none" w:sz="0" w:space="0" w:color="auto"/>
        <w:bottom w:val="none" w:sz="0" w:space="0" w:color="auto"/>
        <w:right w:val="none" w:sz="0" w:space="0" w:color="auto"/>
      </w:divBdr>
    </w:div>
    <w:div w:id="1414935984">
      <w:bodyDiv w:val="1"/>
      <w:marLeft w:val="0"/>
      <w:marRight w:val="0"/>
      <w:marTop w:val="0"/>
      <w:marBottom w:val="0"/>
      <w:divBdr>
        <w:top w:val="none" w:sz="0" w:space="0" w:color="auto"/>
        <w:left w:val="none" w:sz="0" w:space="0" w:color="auto"/>
        <w:bottom w:val="none" w:sz="0" w:space="0" w:color="auto"/>
        <w:right w:val="none" w:sz="0" w:space="0" w:color="auto"/>
      </w:divBdr>
    </w:div>
    <w:div w:id="1438405557">
      <w:bodyDiv w:val="1"/>
      <w:marLeft w:val="0"/>
      <w:marRight w:val="0"/>
      <w:marTop w:val="0"/>
      <w:marBottom w:val="0"/>
      <w:divBdr>
        <w:top w:val="none" w:sz="0" w:space="0" w:color="auto"/>
        <w:left w:val="none" w:sz="0" w:space="0" w:color="auto"/>
        <w:bottom w:val="none" w:sz="0" w:space="0" w:color="auto"/>
        <w:right w:val="none" w:sz="0" w:space="0" w:color="auto"/>
      </w:divBdr>
    </w:div>
    <w:div w:id="1493254819">
      <w:bodyDiv w:val="1"/>
      <w:marLeft w:val="0"/>
      <w:marRight w:val="0"/>
      <w:marTop w:val="0"/>
      <w:marBottom w:val="0"/>
      <w:divBdr>
        <w:top w:val="none" w:sz="0" w:space="0" w:color="auto"/>
        <w:left w:val="none" w:sz="0" w:space="0" w:color="auto"/>
        <w:bottom w:val="none" w:sz="0" w:space="0" w:color="auto"/>
        <w:right w:val="none" w:sz="0" w:space="0" w:color="auto"/>
      </w:divBdr>
    </w:div>
    <w:div w:id="1547373142">
      <w:bodyDiv w:val="1"/>
      <w:marLeft w:val="0"/>
      <w:marRight w:val="0"/>
      <w:marTop w:val="0"/>
      <w:marBottom w:val="0"/>
      <w:divBdr>
        <w:top w:val="none" w:sz="0" w:space="0" w:color="auto"/>
        <w:left w:val="none" w:sz="0" w:space="0" w:color="auto"/>
        <w:bottom w:val="none" w:sz="0" w:space="0" w:color="auto"/>
        <w:right w:val="none" w:sz="0" w:space="0" w:color="auto"/>
      </w:divBdr>
      <w:divsChild>
        <w:div w:id="116877138">
          <w:marLeft w:val="1138"/>
          <w:marRight w:val="0"/>
          <w:marTop w:val="96"/>
          <w:marBottom w:val="0"/>
          <w:divBdr>
            <w:top w:val="none" w:sz="0" w:space="0" w:color="auto"/>
            <w:left w:val="none" w:sz="0" w:space="0" w:color="auto"/>
            <w:bottom w:val="none" w:sz="0" w:space="0" w:color="auto"/>
            <w:right w:val="none" w:sz="0" w:space="0" w:color="auto"/>
          </w:divBdr>
        </w:div>
        <w:div w:id="959723095">
          <w:marLeft w:val="1138"/>
          <w:marRight w:val="0"/>
          <w:marTop w:val="96"/>
          <w:marBottom w:val="0"/>
          <w:divBdr>
            <w:top w:val="none" w:sz="0" w:space="0" w:color="auto"/>
            <w:left w:val="none" w:sz="0" w:space="0" w:color="auto"/>
            <w:bottom w:val="none" w:sz="0" w:space="0" w:color="auto"/>
            <w:right w:val="none" w:sz="0" w:space="0" w:color="auto"/>
          </w:divBdr>
        </w:div>
        <w:div w:id="1004164579">
          <w:marLeft w:val="1138"/>
          <w:marRight w:val="0"/>
          <w:marTop w:val="96"/>
          <w:marBottom w:val="0"/>
          <w:divBdr>
            <w:top w:val="none" w:sz="0" w:space="0" w:color="auto"/>
            <w:left w:val="none" w:sz="0" w:space="0" w:color="auto"/>
            <w:bottom w:val="none" w:sz="0" w:space="0" w:color="auto"/>
            <w:right w:val="none" w:sz="0" w:space="0" w:color="auto"/>
          </w:divBdr>
        </w:div>
        <w:div w:id="1034814076">
          <w:marLeft w:val="1138"/>
          <w:marRight w:val="0"/>
          <w:marTop w:val="96"/>
          <w:marBottom w:val="0"/>
          <w:divBdr>
            <w:top w:val="none" w:sz="0" w:space="0" w:color="auto"/>
            <w:left w:val="none" w:sz="0" w:space="0" w:color="auto"/>
            <w:bottom w:val="none" w:sz="0" w:space="0" w:color="auto"/>
            <w:right w:val="none" w:sz="0" w:space="0" w:color="auto"/>
          </w:divBdr>
        </w:div>
      </w:divsChild>
    </w:div>
    <w:div w:id="1650163237">
      <w:bodyDiv w:val="1"/>
      <w:marLeft w:val="0"/>
      <w:marRight w:val="0"/>
      <w:marTop w:val="0"/>
      <w:marBottom w:val="0"/>
      <w:divBdr>
        <w:top w:val="none" w:sz="0" w:space="0" w:color="auto"/>
        <w:left w:val="none" w:sz="0" w:space="0" w:color="auto"/>
        <w:bottom w:val="none" w:sz="0" w:space="0" w:color="auto"/>
        <w:right w:val="none" w:sz="0" w:space="0" w:color="auto"/>
      </w:divBdr>
    </w:div>
    <w:div w:id="1682660696">
      <w:bodyDiv w:val="1"/>
      <w:marLeft w:val="0"/>
      <w:marRight w:val="0"/>
      <w:marTop w:val="0"/>
      <w:marBottom w:val="0"/>
      <w:divBdr>
        <w:top w:val="none" w:sz="0" w:space="0" w:color="auto"/>
        <w:left w:val="none" w:sz="0" w:space="0" w:color="auto"/>
        <w:bottom w:val="none" w:sz="0" w:space="0" w:color="auto"/>
        <w:right w:val="none" w:sz="0" w:space="0" w:color="auto"/>
      </w:divBdr>
    </w:div>
    <w:div w:id="1813282041">
      <w:bodyDiv w:val="1"/>
      <w:marLeft w:val="0"/>
      <w:marRight w:val="0"/>
      <w:marTop w:val="0"/>
      <w:marBottom w:val="0"/>
      <w:divBdr>
        <w:top w:val="none" w:sz="0" w:space="0" w:color="auto"/>
        <w:left w:val="none" w:sz="0" w:space="0" w:color="auto"/>
        <w:bottom w:val="none" w:sz="0" w:space="0" w:color="auto"/>
        <w:right w:val="none" w:sz="0" w:space="0" w:color="auto"/>
      </w:divBdr>
    </w:div>
    <w:div w:id="1989632950">
      <w:bodyDiv w:val="1"/>
      <w:marLeft w:val="0"/>
      <w:marRight w:val="0"/>
      <w:marTop w:val="0"/>
      <w:marBottom w:val="0"/>
      <w:divBdr>
        <w:top w:val="none" w:sz="0" w:space="0" w:color="auto"/>
        <w:left w:val="none" w:sz="0" w:space="0" w:color="auto"/>
        <w:bottom w:val="none" w:sz="0" w:space="0" w:color="auto"/>
        <w:right w:val="none" w:sz="0" w:space="0" w:color="auto"/>
      </w:divBdr>
    </w:div>
    <w:div w:id="2036344487">
      <w:bodyDiv w:val="1"/>
      <w:marLeft w:val="0"/>
      <w:marRight w:val="0"/>
      <w:marTop w:val="0"/>
      <w:marBottom w:val="0"/>
      <w:divBdr>
        <w:top w:val="none" w:sz="0" w:space="0" w:color="auto"/>
        <w:left w:val="none" w:sz="0" w:space="0" w:color="auto"/>
        <w:bottom w:val="none" w:sz="0" w:space="0" w:color="auto"/>
        <w:right w:val="none" w:sz="0" w:space="0" w:color="auto"/>
      </w:divBdr>
    </w:div>
    <w:div w:id="2064713342">
      <w:bodyDiv w:val="1"/>
      <w:marLeft w:val="0"/>
      <w:marRight w:val="0"/>
      <w:marTop w:val="0"/>
      <w:marBottom w:val="0"/>
      <w:divBdr>
        <w:top w:val="none" w:sz="0" w:space="0" w:color="auto"/>
        <w:left w:val="none" w:sz="0" w:space="0" w:color="auto"/>
        <w:bottom w:val="none" w:sz="0" w:space="0" w:color="auto"/>
        <w:right w:val="none" w:sz="0" w:space="0" w:color="auto"/>
      </w:divBdr>
    </w:div>
    <w:div w:id="2084139597">
      <w:bodyDiv w:val="1"/>
      <w:marLeft w:val="0"/>
      <w:marRight w:val="0"/>
      <w:marTop w:val="0"/>
      <w:marBottom w:val="0"/>
      <w:divBdr>
        <w:top w:val="none" w:sz="0" w:space="0" w:color="auto"/>
        <w:left w:val="none" w:sz="0" w:space="0" w:color="auto"/>
        <w:bottom w:val="none" w:sz="0" w:space="0" w:color="auto"/>
        <w:right w:val="none" w:sz="0" w:space="0" w:color="auto"/>
      </w:divBdr>
    </w:div>
    <w:div w:id="2118286527">
      <w:bodyDiv w:val="1"/>
      <w:marLeft w:val="0"/>
      <w:marRight w:val="0"/>
      <w:marTop w:val="0"/>
      <w:marBottom w:val="0"/>
      <w:divBdr>
        <w:top w:val="none" w:sz="0" w:space="0" w:color="auto"/>
        <w:left w:val="none" w:sz="0" w:space="0" w:color="auto"/>
        <w:bottom w:val="none" w:sz="0" w:space="0" w:color="auto"/>
        <w:right w:val="none" w:sz="0" w:space="0" w:color="auto"/>
      </w:divBdr>
    </w:div>
    <w:div w:id="2133161888">
      <w:bodyDiv w:val="1"/>
      <w:marLeft w:val="0"/>
      <w:marRight w:val="0"/>
      <w:marTop w:val="0"/>
      <w:marBottom w:val="0"/>
      <w:divBdr>
        <w:top w:val="none" w:sz="0" w:space="0" w:color="auto"/>
        <w:left w:val="none" w:sz="0" w:space="0" w:color="auto"/>
        <w:bottom w:val="none" w:sz="0" w:space="0" w:color="auto"/>
        <w:right w:val="none" w:sz="0" w:space="0" w:color="auto"/>
      </w:divBdr>
    </w:div>
    <w:div w:id="21392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Krakowski%20I%5BAuthor%5D&amp;cauthor=true&amp;cauthor_uid=28267066" TargetMode="External"/><Relationship Id="rId3" Type="http://schemas.openxmlformats.org/officeDocument/2006/relationships/hyperlink" Target="https://www.ncbi.nlm.nih.gov/pubmed/?term=Bruera%20E%5BAuthor%5D&amp;cauthor=true&amp;cauthor_uid=26806145" TargetMode="External"/><Relationship Id="rId7" Type="http://schemas.openxmlformats.org/officeDocument/2006/relationships/hyperlink" Target="https://www.ncbi.nlm.nih.gov/pubmed/?term=Luporsi%20E%5BAuthor%5D&amp;cauthor=true&amp;cauthor_uid=28267066" TargetMode="External"/><Relationship Id="rId2" Type="http://schemas.openxmlformats.org/officeDocument/2006/relationships/hyperlink" Target="https://www.ncbi.nlm.nih.gov/pubmed/?term=Mercadante%20S%5BAuthor%5D&amp;cauthor=true&amp;cauthor_uid=26806145" TargetMode="External"/><Relationship Id="rId1" Type="http://schemas.openxmlformats.org/officeDocument/2006/relationships/hyperlink" Target="https://www.e-cancer.fr/Expertises-et-publications/Catalogue-des-publications/La-douleur-en-cancerologie" TargetMode="External"/><Relationship Id="rId6" Type="http://schemas.openxmlformats.org/officeDocument/2006/relationships/hyperlink" Target="https://www.ncbi.nlm.nih.gov/pubmed/?term=Bouhassira%20D%5BAuthor%5D&amp;cauthor=true&amp;cauthor_uid=28267066" TargetMode="External"/><Relationship Id="rId5" Type="http://schemas.openxmlformats.org/officeDocument/2006/relationships/hyperlink" Target="https://www.ncbi.nlm.nih.gov/pubmed/22300860" TargetMode="External"/><Relationship Id="rId4" Type="http://schemas.openxmlformats.org/officeDocument/2006/relationships/hyperlink" Target="https://www.ncbi.nlm.nih.gov/pubmed/26806145" TargetMode="External"/><Relationship Id="rId9" Type="http://schemas.openxmlformats.org/officeDocument/2006/relationships/hyperlink" Target="https://www.ncbi.nlm.nih.gov/pubmed/28267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7544-BAF2-49CB-BB5F-4E9922BA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11050</Words>
  <Characters>60776</Characters>
  <Application>Microsoft Office Word</Application>
  <DocSecurity>0</DocSecurity>
  <Lines>506</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Olivier</dc:creator>
  <cp:keywords/>
  <dc:description/>
  <cp:lastModifiedBy>Pierre Iniguez  (I-TEK)</cp:lastModifiedBy>
  <cp:revision>2</cp:revision>
  <cp:lastPrinted>2019-09-19T12:38:00Z</cp:lastPrinted>
  <dcterms:created xsi:type="dcterms:W3CDTF">2019-11-12T14:20:00Z</dcterms:created>
  <dcterms:modified xsi:type="dcterms:W3CDTF">2019-11-12T14:20:00Z</dcterms:modified>
</cp:coreProperties>
</file>